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667" w:rsidRPr="009A5EC0" w:rsidRDefault="00B52667" w:rsidP="00B52667">
      <w:pPr>
        <w:jc w:val="center"/>
        <w:rPr>
          <w:sz w:val="22"/>
          <w:szCs w:val="22"/>
        </w:rPr>
      </w:pPr>
      <w:r w:rsidRPr="009A5EC0">
        <w:rPr>
          <w:sz w:val="22"/>
          <w:szCs w:val="22"/>
        </w:rPr>
        <w:t>Florida Department of Environmental Protection</w:t>
      </w:r>
    </w:p>
    <w:p w:rsidR="00B52667" w:rsidRPr="009A5EC0" w:rsidRDefault="00B52667" w:rsidP="00B52667">
      <w:pPr>
        <w:spacing w:after="120"/>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DD664B">
        <w:rPr>
          <w:sz w:val="22"/>
          <w:szCs w:val="22"/>
        </w:rPr>
        <w:t>1210003-008</w:t>
      </w:r>
      <w:r w:rsidR="00190983" w:rsidRPr="00FD49CB">
        <w:rPr>
          <w:sz w:val="22"/>
          <w:szCs w:val="22"/>
        </w:rPr>
        <w:t>-AC</w:t>
      </w:r>
      <w:r w:rsidR="001B26BC">
        <w:rPr>
          <w:sz w:val="22"/>
          <w:szCs w:val="22"/>
        </w:rPr>
        <w:t xml:space="preserve"> </w:t>
      </w:r>
      <w:r>
        <w:rPr>
          <w:sz w:val="22"/>
          <w:szCs w:val="22"/>
        </w:rPr>
        <w:t xml:space="preserve">/ </w:t>
      </w:r>
      <w:r w:rsidR="001B26BC" w:rsidRPr="009A5EC0">
        <w:rPr>
          <w:sz w:val="22"/>
          <w:szCs w:val="22"/>
        </w:rPr>
        <w:t>PSD-FL-</w:t>
      </w:r>
      <w:r w:rsidR="00190983">
        <w:rPr>
          <w:sz w:val="22"/>
          <w:szCs w:val="22"/>
        </w:rPr>
        <w:t>42</w:t>
      </w:r>
      <w:r w:rsidR="00DD664B">
        <w:rPr>
          <w:sz w:val="22"/>
          <w:szCs w:val="22"/>
        </w:rPr>
        <w:t>8</w:t>
      </w:r>
    </w:p>
    <w:p w:rsidR="00B52667" w:rsidRPr="009A5EC0" w:rsidRDefault="00DD664B" w:rsidP="00B52667">
      <w:pPr>
        <w:widowControl w:val="0"/>
        <w:jc w:val="center"/>
        <w:rPr>
          <w:sz w:val="22"/>
          <w:szCs w:val="22"/>
        </w:rPr>
      </w:pPr>
      <w:r>
        <w:rPr>
          <w:sz w:val="22"/>
          <w:szCs w:val="22"/>
        </w:rPr>
        <w:t>Duke Energy Florida, Inc.</w:t>
      </w:r>
      <w:r w:rsidR="00190983">
        <w:rPr>
          <w:sz w:val="22"/>
          <w:szCs w:val="22"/>
        </w:rPr>
        <w:t xml:space="preserve"> (</w:t>
      </w:r>
      <w:r>
        <w:rPr>
          <w:sz w:val="22"/>
          <w:szCs w:val="22"/>
        </w:rPr>
        <w:t>DEF</w:t>
      </w:r>
      <w:r w:rsidR="00190983">
        <w:rPr>
          <w:sz w:val="22"/>
          <w:szCs w:val="22"/>
        </w:rPr>
        <w:t>)</w:t>
      </w:r>
      <w:r w:rsidR="009A5EC0">
        <w:rPr>
          <w:sz w:val="22"/>
          <w:szCs w:val="22"/>
        </w:rPr>
        <w:t xml:space="preserve">, </w:t>
      </w:r>
      <w:r>
        <w:rPr>
          <w:sz w:val="22"/>
          <w:szCs w:val="22"/>
        </w:rPr>
        <w:t>Suwannee River Power</w:t>
      </w:r>
      <w:r w:rsidR="00482F8F" w:rsidRPr="00130D3E">
        <w:rPr>
          <w:sz w:val="22"/>
          <w:szCs w:val="22"/>
        </w:rPr>
        <w:t xml:space="preserve"> Plant</w:t>
      </w:r>
    </w:p>
    <w:p w:rsidR="00B52667" w:rsidRPr="009A5EC0" w:rsidRDefault="00DD664B" w:rsidP="0035192B">
      <w:pPr>
        <w:spacing w:after="240"/>
        <w:jc w:val="center"/>
        <w:rPr>
          <w:sz w:val="22"/>
          <w:szCs w:val="22"/>
        </w:rPr>
      </w:pPr>
      <w:r>
        <w:rPr>
          <w:sz w:val="22"/>
          <w:szCs w:val="22"/>
        </w:rPr>
        <w:t>Suwannee</w:t>
      </w:r>
      <w:r w:rsidR="00B52667" w:rsidRPr="009A5EC0">
        <w:rPr>
          <w:sz w:val="22"/>
          <w:szCs w:val="22"/>
        </w:rPr>
        <w:t xml:space="preserve"> County, Florida</w:t>
      </w:r>
    </w:p>
    <w:p w:rsidR="00B52667" w:rsidRPr="009A5EC0" w:rsidRDefault="00B52667" w:rsidP="001B26BC">
      <w:pPr>
        <w:spacing w:after="120"/>
        <w:rPr>
          <w:sz w:val="22"/>
          <w:szCs w:val="22"/>
        </w:rPr>
      </w:pPr>
      <w:r w:rsidRPr="009A5EC0">
        <w:rPr>
          <w:b/>
          <w:sz w:val="22"/>
          <w:szCs w:val="22"/>
        </w:rPr>
        <w:t>Applicant</w:t>
      </w:r>
      <w:r w:rsidRPr="009A5EC0">
        <w:rPr>
          <w:sz w:val="22"/>
          <w:szCs w:val="22"/>
        </w:rPr>
        <w:t xml:space="preserve">:  The applicant for this project is </w:t>
      </w:r>
      <w:r w:rsidR="00DD664B" w:rsidRPr="00DD664B">
        <w:rPr>
          <w:sz w:val="22"/>
          <w:szCs w:val="22"/>
        </w:rPr>
        <w:t>Duke Energy Florida, Inc. (DEF)</w:t>
      </w:r>
      <w:r w:rsidRPr="009A5EC0">
        <w:rPr>
          <w:sz w:val="22"/>
          <w:szCs w:val="22"/>
        </w:rPr>
        <w:t xml:space="preserve">.  The applicant’s authorized representative and mailing address is:  </w:t>
      </w:r>
      <w:r w:rsidR="00DD664B" w:rsidRPr="00DD664B">
        <w:rPr>
          <w:color w:val="000000"/>
          <w:sz w:val="22"/>
          <w:szCs w:val="22"/>
        </w:rPr>
        <w:t>Mr. Brian V. Powers, Station Manager</w:t>
      </w:r>
      <w:r w:rsidR="009A5EC0" w:rsidRPr="00482F8F">
        <w:rPr>
          <w:sz w:val="22"/>
          <w:szCs w:val="22"/>
        </w:rPr>
        <w:t>,</w:t>
      </w:r>
      <w:r w:rsidR="00190983" w:rsidRPr="00190983">
        <w:rPr>
          <w:sz w:val="22"/>
          <w:szCs w:val="22"/>
        </w:rPr>
        <w:t xml:space="preserve"> </w:t>
      </w:r>
      <w:r w:rsidR="00DD664B" w:rsidRPr="00DD664B">
        <w:rPr>
          <w:sz w:val="22"/>
          <w:szCs w:val="22"/>
        </w:rPr>
        <w:t>Duke Energy Florida, Inc. (DEF)</w:t>
      </w:r>
      <w:r w:rsidR="00482F8F">
        <w:rPr>
          <w:sz w:val="22"/>
          <w:szCs w:val="22"/>
        </w:rPr>
        <w:t xml:space="preserve">, </w:t>
      </w:r>
      <w:r w:rsidR="00DD664B" w:rsidRPr="00DD664B">
        <w:rPr>
          <w:sz w:val="22"/>
          <w:szCs w:val="22"/>
        </w:rPr>
        <w:t>299 First Avenue North, FL-903</w:t>
      </w:r>
      <w:r w:rsidR="009A5EC0" w:rsidRPr="00482F8F">
        <w:rPr>
          <w:sz w:val="22"/>
          <w:szCs w:val="22"/>
        </w:rPr>
        <w:t xml:space="preserve">, </w:t>
      </w:r>
      <w:r w:rsidR="00DD664B" w:rsidRPr="00DD664B">
        <w:rPr>
          <w:sz w:val="22"/>
          <w:szCs w:val="22"/>
        </w:rPr>
        <w:t>St. Petersburg, FL 33701-3308</w:t>
      </w:r>
      <w:r w:rsidRPr="009A5EC0">
        <w:rPr>
          <w:sz w:val="22"/>
          <w:szCs w:val="22"/>
        </w:rPr>
        <w:t>.</w:t>
      </w:r>
    </w:p>
    <w:p w:rsidR="001B1DB9" w:rsidRPr="004357DC" w:rsidRDefault="00B52667" w:rsidP="0035192B">
      <w:pPr>
        <w:spacing w:after="120"/>
        <w:rPr>
          <w:sz w:val="22"/>
          <w:szCs w:val="22"/>
        </w:rPr>
      </w:pPr>
      <w:r w:rsidRPr="00482F8F">
        <w:rPr>
          <w:b/>
          <w:sz w:val="22"/>
          <w:szCs w:val="22"/>
        </w:rPr>
        <w:t>Facility Location</w:t>
      </w:r>
      <w:r w:rsidRPr="00482F8F">
        <w:rPr>
          <w:sz w:val="22"/>
          <w:szCs w:val="22"/>
        </w:rPr>
        <w:t xml:space="preserve">:  </w:t>
      </w:r>
      <w:r w:rsidR="00DD664B" w:rsidRPr="00DD664B">
        <w:rPr>
          <w:sz w:val="22"/>
          <w:szCs w:val="22"/>
        </w:rPr>
        <w:t>The existing Suwannee River Power Plant is located within the city of Live Oak in Suwannee County, Florida.  The facility can be accessed from River Road south of Route 90.</w:t>
      </w:r>
    </w:p>
    <w:p w:rsidR="00DD664B" w:rsidRPr="00DD664B" w:rsidRDefault="00B52667" w:rsidP="00DD664B">
      <w:pPr>
        <w:spacing w:after="60"/>
        <w:rPr>
          <w:sz w:val="22"/>
          <w:szCs w:val="22"/>
        </w:rPr>
      </w:pPr>
      <w:r w:rsidRPr="009A5EC0">
        <w:rPr>
          <w:b/>
          <w:sz w:val="22"/>
          <w:szCs w:val="22"/>
        </w:rPr>
        <w:t>Project</w:t>
      </w:r>
      <w:r w:rsidRPr="009A5EC0">
        <w:rPr>
          <w:sz w:val="22"/>
          <w:szCs w:val="22"/>
        </w:rPr>
        <w:t xml:space="preserve">:  </w:t>
      </w:r>
      <w:r w:rsidR="00DD664B" w:rsidRPr="00DD664B">
        <w:rPr>
          <w:sz w:val="22"/>
          <w:szCs w:val="22"/>
        </w:rPr>
        <w:t xml:space="preserve">DEF proposes to construct two nominal 178 </w:t>
      </w:r>
      <w:r w:rsidR="00225512">
        <w:rPr>
          <w:sz w:val="22"/>
          <w:szCs w:val="22"/>
        </w:rPr>
        <w:t>megawatt</w:t>
      </w:r>
      <w:r w:rsidR="00DD664B" w:rsidRPr="00DD664B">
        <w:rPr>
          <w:sz w:val="22"/>
          <w:szCs w:val="22"/>
        </w:rPr>
        <w:t xml:space="preserve"> primarily natural gas-fueled General Electric 7FA.03 model simple cycle combustion turbines (CT) and ancillary equipment.  Ultra-low sulfur distillate fuel oil will be used as a limited backup fuel in the CT.  </w:t>
      </w:r>
      <w:r w:rsidR="001D1790">
        <w:rPr>
          <w:sz w:val="22"/>
          <w:szCs w:val="22"/>
        </w:rPr>
        <w:t>The</w:t>
      </w:r>
      <w:r w:rsidR="00225512" w:rsidRPr="00225512">
        <w:rPr>
          <w:sz w:val="22"/>
          <w:szCs w:val="22"/>
        </w:rPr>
        <w:t xml:space="preserve"> natural gas </w:t>
      </w:r>
      <w:r w:rsidR="001D1790">
        <w:rPr>
          <w:sz w:val="22"/>
          <w:szCs w:val="22"/>
        </w:rPr>
        <w:t xml:space="preserve">will be limited to </w:t>
      </w:r>
      <w:r w:rsidR="00225512" w:rsidRPr="00225512">
        <w:rPr>
          <w:sz w:val="22"/>
          <w:szCs w:val="22"/>
        </w:rPr>
        <w:t xml:space="preserve">2 grains </w:t>
      </w:r>
      <w:r w:rsidR="001D1790">
        <w:rPr>
          <w:sz w:val="22"/>
          <w:szCs w:val="22"/>
        </w:rPr>
        <w:t xml:space="preserve">of </w:t>
      </w:r>
      <w:r w:rsidR="00225512" w:rsidRPr="00225512">
        <w:rPr>
          <w:sz w:val="22"/>
          <w:szCs w:val="22"/>
        </w:rPr>
        <w:t>sulfur</w:t>
      </w:r>
      <w:r w:rsidR="001D1790">
        <w:rPr>
          <w:sz w:val="22"/>
          <w:szCs w:val="22"/>
        </w:rPr>
        <w:t xml:space="preserve"> per </w:t>
      </w:r>
      <w:r w:rsidR="00225512" w:rsidRPr="00225512">
        <w:rPr>
          <w:sz w:val="22"/>
          <w:szCs w:val="22"/>
        </w:rPr>
        <w:t xml:space="preserve">100 </w:t>
      </w:r>
      <w:r w:rsidR="001D1790">
        <w:rPr>
          <w:sz w:val="22"/>
          <w:szCs w:val="22"/>
        </w:rPr>
        <w:t>standard cubic feet of gas while the</w:t>
      </w:r>
      <w:r w:rsidR="00225512" w:rsidRPr="00225512">
        <w:rPr>
          <w:sz w:val="22"/>
          <w:szCs w:val="22"/>
        </w:rPr>
        <w:t xml:space="preserve"> ULSD fuel oil </w:t>
      </w:r>
      <w:r w:rsidR="001D1790">
        <w:rPr>
          <w:sz w:val="22"/>
          <w:szCs w:val="22"/>
        </w:rPr>
        <w:t xml:space="preserve">will be limited to </w:t>
      </w:r>
      <w:r w:rsidR="00225512" w:rsidRPr="00225512">
        <w:rPr>
          <w:sz w:val="22"/>
          <w:szCs w:val="22"/>
        </w:rPr>
        <w:t>0.0015% sulfur.</w:t>
      </w:r>
      <w:r w:rsidR="001D1790">
        <w:rPr>
          <w:sz w:val="22"/>
          <w:szCs w:val="22"/>
        </w:rPr>
        <w:t xml:space="preserve">  </w:t>
      </w:r>
      <w:r w:rsidR="00DD664B" w:rsidRPr="00DD664B">
        <w:rPr>
          <w:sz w:val="22"/>
          <w:szCs w:val="22"/>
        </w:rPr>
        <w:t xml:space="preserve">The ancillary equipment will include: </w:t>
      </w:r>
      <w:r w:rsidR="00726034">
        <w:rPr>
          <w:sz w:val="22"/>
          <w:szCs w:val="22"/>
        </w:rPr>
        <w:t xml:space="preserve"> </w:t>
      </w:r>
      <w:r w:rsidR="00DD664B" w:rsidRPr="00DD664B">
        <w:rPr>
          <w:sz w:val="22"/>
          <w:szCs w:val="22"/>
        </w:rPr>
        <w:t>two new natural gas</w:t>
      </w:r>
      <w:r w:rsidR="00DD664B" w:rsidRPr="00DD664B">
        <w:rPr>
          <w:rFonts w:ascii="Cambria Math" w:hAnsi="Cambria Math" w:cs="Cambria Math"/>
          <w:sz w:val="22"/>
          <w:szCs w:val="22"/>
        </w:rPr>
        <w:t>‐</w:t>
      </w:r>
      <w:r w:rsidR="00DD664B" w:rsidRPr="00DD664B">
        <w:rPr>
          <w:sz w:val="22"/>
          <w:szCs w:val="22"/>
        </w:rPr>
        <w:t>fired fuel gas heaters</w:t>
      </w:r>
      <w:r w:rsidR="007F6973">
        <w:rPr>
          <w:sz w:val="22"/>
          <w:szCs w:val="22"/>
        </w:rPr>
        <w:t>;</w:t>
      </w:r>
      <w:r w:rsidR="00DD664B" w:rsidRPr="00DD664B">
        <w:rPr>
          <w:sz w:val="22"/>
          <w:szCs w:val="22"/>
        </w:rPr>
        <w:t xml:space="preserve"> a new emergency diesel fire pump</w:t>
      </w:r>
      <w:r w:rsidR="007F6973">
        <w:rPr>
          <w:sz w:val="22"/>
          <w:szCs w:val="22"/>
        </w:rPr>
        <w:t>;</w:t>
      </w:r>
      <w:r w:rsidR="00DD664B" w:rsidRPr="00DD664B">
        <w:rPr>
          <w:sz w:val="22"/>
          <w:szCs w:val="22"/>
        </w:rPr>
        <w:t xml:space="preserve"> a new 2.5 million gallon double</w:t>
      </w:r>
      <w:r w:rsidR="00DD664B" w:rsidRPr="00DD664B">
        <w:rPr>
          <w:rFonts w:ascii="Cambria Math" w:hAnsi="Cambria Math" w:cs="Cambria Math"/>
          <w:sz w:val="22"/>
          <w:szCs w:val="22"/>
        </w:rPr>
        <w:t>‐</w:t>
      </w:r>
      <w:r w:rsidR="00DD664B" w:rsidRPr="00DD664B">
        <w:rPr>
          <w:sz w:val="22"/>
          <w:szCs w:val="22"/>
        </w:rPr>
        <w:t>wall fuel oil storage tank</w:t>
      </w:r>
      <w:r w:rsidR="007F6973">
        <w:rPr>
          <w:sz w:val="22"/>
          <w:szCs w:val="22"/>
        </w:rPr>
        <w:t>;</w:t>
      </w:r>
      <w:r w:rsidR="00DD664B" w:rsidRPr="00DD664B">
        <w:rPr>
          <w:sz w:val="22"/>
          <w:szCs w:val="22"/>
        </w:rPr>
        <w:t xml:space="preserve"> four new circuit breakers</w:t>
      </w:r>
      <w:r w:rsidR="007F6973">
        <w:rPr>
          <w:sz w:val="22"/>
          <w:szCs w:val="22"/>
        </w:rPr>
        <w:t>;</w:t>
      </w:r>
      <w:r w:rsidR="00DD664B" w:rsidRPr="00DD664B">
        <w:rPr>
          <w:sz w:val="22"/>
          <w:szCs w:val="22"/>
        </w:rPr>
        <w:t xml:space="preserve"> and miscellaneous natural gas piping components.  </w:t>
      </w:r>
      <w:r w:rsidR="001D1790" w:rsidRPr="00DD664B">
        <w:rPr>
          <w:sz w:val="22"/>
          <w:szCs w:val="22"/>
        </w:rPr>
        <w:t>Natural gas will be delivered to the site by the existing pipeline; however, new piping components will be installed to deliver the fuel to the specific area where the new CT will be located.  ULSD fuel oil delivery will be by truck.</w:t>
      </w:r>
    </w:p>
    <w:p w:rsidR="00DD664B" w:rsidRPr="00DD664B" w:rsidRDefault="00DD664B" w:rsidP="00DD664B">
      <w:pPr>
        <w:spacing w:after="60"/>
        <w:rPr>
          <w:sz w:val="22"/>
          <w:szCs w:val="22"/>
        </w:rPr>
      </w:pPr>
      <w:r w:rsidRPr="00DD664B">
        <w:rPr>
          <w:sz w:val="22"/>
          <w:szCs w:val="22"/>
        </w:rPr>
        <w:t>Each CT will include the following major features:</w:t>
      </w:r>
    </w:p>
    <w:p w:rsidR="00DD664B" w:rsidRDefault="00DD664B" w:rsidP="00DD664B">
      <w:pPr>
        <w:numPr>
          <w:ilvl w:val="0"/>
          <w:numId w:val="1"/>
        </w:numPr>
        <w:spacing w:after="60"/>
        <w:rPr>
          <w:sz w:val="22"/>
          <w:szCs w:val="22"/>
        </w:rPr>
      </w:pPr>
      <w:r w:rsidRPr="00DD664B">
        <w:rPr>
          <w:sz w:val="22"/>
          <w:szCs w:val="22"/>
        </w:rPr>
        <w:t>Dual fuel firing system using natural gas</w:t>
      </w:r>
      <w:r>
        <w:rPr>
          <w:sz w:val="22"/>
          <w:szCs w:val="22"/>
        </w:rPr>
        <w:t xml:space="preserve"> (primary fuel)</w:t>
      </w:r>
      <w:r w:rsidRPr="00DD664B">
        <w:rPr>
          <w:sz w:val="22"/>
          <w:szCs w:val="22"/>
        </w:rPr>
        <w:t xml:space="preserve"> or ULSD fuel oil</w:t>
      </w:r>
      <w:r>
        <w:rPr>
          <w:sz w:val="22"/>
          <w:szCs w:val="22"/>
        </w:rPr>
        <w:t xml:space="preserve"> (limited backup fuel)</w:t>
      </w:r>
      <w:r w:rsidRPr="00DD664B">
        <w:rPr>
          <w:sz w:val="22"/>
          <w:szCs w:val="22"/>
        </w:rPr>
        <w:t>;</w:t>
      </w:r>
    </w:p>
    <w:p w:rsidR="00DD664B" w:rsidRPr="00DD664B" w:rsidRDefault="00DD664B" w:rsidP="00DD664B">
      <w:pPr>
        <w:numPr>
          <w:ilvl w:val="0"/>
          <w:numId w:val="1"/>
        </w:numPr>
        <w:spacing w:after="60"/>
        <w:rPr>
          <w:sz w:val="22"/>
          <w:szCs w:val="22"/>
        </w:rPr>
      </w:pPr>
      <w:r>
        <w:rPr>
          <w:sz w:val="22"/>
          <w:szCs w:val="22"/>
        </w:rPr>
        <w:t>The CT are limited to a combined 8,000 hours of operation</w:t>
      </w:r>
      <w:r w:rsidRPr="00DD664B">
        <w:rPr>
          <w:sz w:val="22"/>
          <w:szCs w:val="22"/>
        </w:rPr>
        <w:t xml:space="preserve"> </w:t>
      </w:r>
      <w:r>
        <w:rPr>
          <w:sz w:val="22"/>
          <w:szCs w:val="22"/>
        </w:rPr>
        <w:t>per year of which 1</w:t>
      </w:r>
      <w:r w:rsidR="007F6973">
        <w:rPr>
          <w:sz w:val="22"/>
          <w:szCs w:val="22"/>
        </w:rPr>
        <w:t>,</w:t>
      </w:r>
      <w:r>
        <w:rPr>
          <w:sz w:val="22"/>
          <w:szCs w:val="22"/>
        </w:rPr>
        <w:t>000 hours can be while firing ULSD fuel oil; and</w:t>
      </w:r>
    </w:p>
    <w:p w:rsidR="00DD664B" w:rsidRPr="00DD664B" w:rsidRDefault="00DD664B" w:rsidP="00DD664B">
      <w:pPr>
        <w:numPr>
          <w:ilvl w:val="0"/>
          <w:numId w:val="1"/>
        </w:numPr>
        <w:spacing w:after="120"/>
        <w:rPr>
          <w:sz w:val="22"/>
          <w:szCs w:val="22"/>
        </w:rPr>
      </w:pPr>
      <w:r w:rsidRPr="00DD664B">
        <w:rPr>
          <w:sz w:val="22"/>
          <w:szCs w:val="22"/>
        </w:rPr>
        <w:t xml:space="preserve">Dry low </w:t>
      </w:r>
      <w:r w:rsidR="007F6973">
        <w:rPr>
          <w:sz w:val="22"/>
          <w:szCs w:val="22"/>
        </w:rPr>
        <w:t>nitrogen oxides (</w:t>
      </w:r>
      <w:r w:rsidRPr="00DD664B">
        <w:rPr>
          <w:sz w:val="22"/>
          <w:szCs w:val="22"/>
        </w:rPr>
        <w:t>NO</w:t>
      </w:r>
      <w:r w:rsidRPr="00DD664B">
        <w:rPr>
          <w:sz w:val="22"/>
          <w:szCs w:val="22"/>
          <w:vertAlign w:val="subscript"/>
        </w:rPr>
        <w:t>X</w:t>
      </w:r>
      <w:r w:rsidR="007F6973">
        <w:rPr>
          <w:sz w:val="22"/>
          <w:szCs w:val="22"/>
        </w:rPr>
        <w:t>)</w:t>
      </w:r>
      <w:r w:rsidRPr="00DD664B">
        <w:rPr>
          <w:sz w:val="22"/>
          <w:szCs w:val="22"/>
        </w:rPr>
        <w:t xml:space="preserve"> combustion system for NO</w:t>
      </w:r>
      <w:r w:rsidRPr="00DD664B">
        <w:rPr>
          <w:sz w:val="22"/>
          <w:szCs w:val="22"/>
          <w:vertAlign w:val="subscript"/>
        </w:rPr>
        <w:t>X</w:t>
      </w:r>
      <w:r w:rsidRPr="00DD664B">
        <w:rPr>
          <w:sz w:val="22"/>
          <w:szCs w:val="22"/>
        </w:rPr>
        <w:t xml:space="preserve"> reduction when firing natural gas and water injection </w:t>
      </w:r>
      <w:r w:rsidR="00726034" w:rsidRPr="00DD664B">
        <w:rPr>
          <w:sz w:val="22"/>
          <w:szCs w:val="22"/>
        </w:rPr>
        <w:t>for NO</w:t>
      </w:r>
      <w:r w:rsidR="00726034" w:rsidRPr="00DD664B">
        <w:rPr>
          <w:sz w:val="22"/>
          <w:szCs w:val="22"/>
          <w:vertAlign w:val="subscript"/>
        </w:rPr>
        <w:t>X</w:t>
      </w:r>
      <w:r w:rsidR="00726034" w:rsidRPr="00DD664B">
        <w:rPr>
          <w:sz w:val="22"/>
          <w:szCs w:val="22"/>
        </w:rPr>
        <w:t xml:space="preserve"> reduction </w:t>
      </w:r>
      <w:r w:rsidRPr="00DD664B">
        <w:rPr>
          <w:sz w:val="22"/>
          <w:szCs w:val="22"/>
        </w:rPr>
        <w:t>while firing ULSD fuel oil.</w:t>
      </w:r>
    </w:p>
    <w:p w:rsidR="00665AD4" w:rsidRPr="00665AD4" w:rsidRDefault="00DD664B" w:rsidP="00DD664B">
      <w:pPr>
        <w:spacing w:after="60"/>
        <w:rPr>
          <w:sz w:val="22"/>
          <w:szCs w:val="22"/>
        </w:rPr>
      </w:pPr>
      <w:r w:rsidRPr="00DD664B">
        <w:rPr>
          <w:sz w:val="22"/>
          <w:szCs w:val="22"/>
        </w:rPr>
        <w:t xml:space="preserve">The project includes the permanent shutdown of </w:t>
      </w:r>
      <w:r w:rsidR="007F6973">
        <w:rPr>
          <w:sz w:val="22"/>
          <w:szCs w:val="22"/>
        </w:rPr>
        <w:t xml:space="preserve">a </w:t>
      </w:r>
      <w:r w:rsidRPr="00DD664B">
        <w:rPr>
          <w:sz w:val="22"/>
          <w:szCs w:val="22"/>
        </w:rPr>
        <w:t xml:space="preserve">fossil fuel steam </w:t>
      </w:r>
      <w:r w:rsidR="007F6973">
        <w:rPr>
          <w:sz w:val="22"/>
          <w:szCs w:val="22"/>
        </w:rPr>
        <w:t>b</w:t>
      </w:r>
      <w:r w:rsidRPr="00DD664B">
        <w:rPr>
          <w:sz w:val="22"/>
          <w:szCs w:val="22"/>
        </w:rPr>
        <w:t xml:space="preserve">oiler </w:t>
      </w:r>
      <w:r w:rsidR="007F6973">
        <w:rPr>
          <w:sz w:val="22"/>
          <w:szCs w:val="22"/>
        </w:rPr>
        <w:t>at the site</w:t>
      </w:r>
      <w:r w:rsidRPr="00DD664B">
        <w:rPr>
          <w:sz w:val="22"/>
          <w:szCs w:val="22"/>
        </w:rPr>
        <w:t xml:space="preserve">.  Once commercial operation of the CT peaking commences, the existing </w:t>
      </w:r>
      <w:r w:rsidR="007F6973">
        <w:rPr>
          <w:sz w:val="22"/>
          <w:szCs w:val="22"/>
        </w:rPr>
        <w:t>b</w:t>
      </w:r>
      <w:r w:rsidRPr="00DD664B">
        <w:rPr>
          <w:sz w:val="22"/>
          <w:szCs w:val="22"/>
        </w:rPr>
        <w:t xml:space="preserve">oiler </w:t>
      </w:r>
      <w:r w:rsidR="007F6973">
        <w:rPr>
          <w:sz w:val="22"/>
          <w:szCs w:val="22"/>
        </w:rPr>
        <w:t>will</w:t>
      </w:r>
      <w:r w:rsidRPr="00DD664B">
        <w:rPr>
          <w:sz w:val="22"/>
          <w:szCs w:val="22"/>
        </w:rPr>
        <w:t xml:space="preserve"> be permanently shut down.  During the initial startup and shakedown of the CT peaking units, the existing </w:t>
      </w:r>
      <w:r w:rsidR="007F6973">
        <w:rPr>
          <w:sz w:val="22"/>
          <w:szCs w:val="22"/>
        </w:rPr>
        <w:t>b</w:t>
      </w:r>
      <w:r w:rsidRPr="00DD664B">
        <w:rPr>
          <w:sz w:val="22"/>
          <w:szCs w:val="22"/>
        </w:rPr>
        <w:t xml:space="preserve">oiler may continue to operate.  </w:t>
      </w:r>
      <w:bookmarkStart w:id="0" w:name="_GoBack"/>
      <w:bookmarkEnd w:id="0"/>
    </w:p>
    <w:p w:rsidR="00B52667" w:rsidRPr="00865CD9" w:rsidRDefault="00B52667" w:rsidP="00865CD9">
      <w:pPr>
        <w:spacing w:after="120"/>
        <w:rPr>
          <w:bCs/>
          <w:sz w:val="22"/>
          <w:szCs w:val="22"/>
        </w:rPr>
      </w:pPr>
      <w:r w:rsidRPr="00865CD9">
        <w:rPr>
          <w:bCs/>
          <w:sz w:val="22"/>
          <w:szCs w:val="22"/>
        </w:rPr>
        <w:t>Based on the air permit application</w:t>
      </w:r>
      <w:r w:rsidR="008B6B72">
        <w:rPr>
          <w:bCs/>
          <w:sz w:val="22"/>
          <w:szCs w:val="22"/>
        </w:rPr>
        <w:t xml:space="preserve"> submitted by </w:t>
      </w:r>
      <w:r w:rsidR="00DD664B">
        <w:rPr>
          <w:bCs/>
          <w:sz w:val="22"/>
          <w:szCs w:val="22"/>
        </w:rPr>
        <w:t>DEF</w:t>
      </w:r>
      <w:r w:rsidR="008B6B72">
        <w:rPr>
          <w:bCs/>
          <w:sz w:val="22"/>
          <w:szCs w:val="22"/>
        </w:rPr>
        <w:t>,</w:t>
      </w:r>
      <w:r w:rsidR="00936894">
        <w:rPr>
          <w:bCs/>
          <w:sz w:val="22"/>
          <w:szCs w:val="22"/>
        </w:rPr>
        <w:t xml:space="preserve"> and </w:t>
      </w:r>
      <w:r w:rsidR="00FF7A16" w:rsidRPr="00FF7A16">
        <w:rPr>
          <w:bCs/>
          <w:sz w:val="22"/>
          <w:szCs w:val="22"/>
        </w:rPr>
        <w:t xml:space="preserve">taking into account the baseline actual emissions from the retired </w:t>
      </w:r>
      <w:r w:rsidR="007F6973">
        <w:rPr>
          <w:bCs/>
          <w:sz w:val="22"/>
          <w:szCs w:val="22"/>
        </w:rPr>
        <w:t>boiler</w:t>
      </w:r>
      <w:r w:rsidR="00FF7A16" w:rsidRPr="00FF7A16">
        <w:rPr>
          <w:bCs/>
          <w:sz w:val="22"/>
          <w:szCs w:val="22"/>
        </w:rPr>
        <w:t xml:space="preserve"> and the potential e</w:t>
      </w:r>
      <w:r w:rsidR="00D308F1">
        <w:rPr>
          <w:bCs/>
          <w:sz w:val="22"/>
          <w:szCs w:val="22"/>
        </w:rPr>
        <w:t>missions from the project, the</w:t>
      </w:r>
      <w:r w:rsidR="00211428">
        <w:rPr>
          <w:bCs/>
          <w:sz w:val="22"/>
          <w:szCs w:val="22"/>
        </w:rPr>
        <w:t xml:space="preserve"> </w:t>
      </w:r>
      <w:r w:rsidR="004C21C5">
        <w:rPr>
          <w:bCs/>
          <w:sz w:val="22"/>
          <w:szCs w:val="22"/>
        </w:rPr>
        <w:t>potential</w:t>
      </w:r>
      <w:r w:rsidR="00211428">
        <w:rPr>
          <w:bCs/>
          <w:sz w:val="22"/>
          <w:szCs w:val="22"/>
        </w:rPr>
        <w:t xml:space="preserve"> </w:t>
      </w:r>
      <w:r w:rsidR="00FF7A16" w:rsidRPr="00FF7A16">
        <w:rPr>
          <w:bCs/>
          <w:sz w:val="22"/>
          <w:szCs w:val="22"/>
        </w:rPr>
        <w:t>net emissions increases</w:t>
      </w:r>
      <w:r w:rsidR="007F6973">
        <w:rPr>
          <w:bCs/>
          <w:sz w:val="22"/>
          <w:szCs w:val="22"/>
        </w:rPr>
        <w:t xml:space="preserve"> and decreases</w:t>
      </w:r>
      <w:r w:rsidR="00FF7A16" w:rsidRPr="00FF7A16">
        <w:rPr>
          <w:bCs/>
          <w:sz w:val="22"/>
          <w:szCs w:val="22"/>
        </w:rPr>
        <w:t xml:space="preserve"> for comparison with the Prevention of Significant Deterioration (PSD) thresholds are:</w:t>
      </w:r>
      <w:r w:rsidRPr="00865CD9">
        <w:rPr>
          <w:bCs/>
          <w:sz w:val="22"/>
          <w:szCs w:val="22"/>
        </w:rPr>
        <w:t xml:space="preserve">:  </w:t>
      </w:r>
      <w:r w:rsidR="004C21C5">
        <w:rPr>
          <w:bCs/>
          <w:sz w:val="22"/>
          <w:szCs w:val="22"/>
        </w:rPr>
        <w:t>-49.7</w:t>
      </w:r>
      <w:r w:rsidRPr="008556FD">
        <w:rPr>
          <w:bCs/>
          <w:sz w:val="22"/>
          <w:szCs w:val="22"/>
        </w:rPr>
        <w:t xml:space="preserve"> tons per year</w:t>
      </w:r>
      <w:r w:rsidR="004C21C5">
        <w:rPr>
          <w:bCs/>
          <w:sz w:val="22"/>
          <w:szCs w:val="22"/>
        </w:rPr>
        <w:t xml:space="preserve"> (TPY)</w:t>
      </w:r>
      <w:r w:rsidRPr="008556FD">
        <w:rPr>
          <w:bCs/>
          <w:sz w:val="22"/>
          <w:szCs w:val="22"/>
        </w:rPr>
        <w:t xml:space="preserve"> </w:t>
      </w:r>
      <w:r w:rsidR="007F6973">
        <w:rPr>
          <w:bCs/>
          <w:sz w:val="22"/>
          <w:szCs w:val="22"/>
        </w:rPr>
        <w:t xml:space="preserve">of </w:t>
      </w:r>
      <w:r w:rsidR="008556FD">
        <w:rPr>
          <w:bCs/>
          <w:sz w:val="22"/>
          <w:szCs w:val="22"/>
        </w:rPr>
        <w:t>carbon monoxide (</w:t>
      </w:r>
      <w:r w:rsidRPr="008556FD">
        <w:rPr>
          <w:bCs/>
          <w:sz w:val="22"/>
          <w:szCs w:val="22"/>
        </w:rPr>
        <w:t>CO</w:t>
      </w:r>
      <w:r w:rsidR="008556FD">
        <w:rPr>
          <w:bCs/>
          <w:sz w:val="22"/>
          <w:szCs w:val="22"/>
        </w:rPr>
        <w:t>)</w:t>
      </w:r>
      <w:r w:rsidRPr="008556FD">
        <w:rPr>
          <w:bCs/>
          <w:sz w:val="22"/>
          <w:szCs w:val="22"/>
        </w:rPr>
        <w:t xml:space="preserve">; </w:t>
      </w:r>
      <w:r w:rsidR="004C21C5">
        <w:rPr>
          <w:bCs/>
          <w:sz w:val="22"/>
          <w:szCs w:val="22"/>
        </w:rPr>
        <w:t>-240.5</w:t>
      </w:r>
      <w:r w:rsidR="00F15093" w:rsidRPr="008556FD">
        <w:rPr>
          <w:bCs/>
          <w:sz w:val="22"/>
          <w:szCs w:val="22"/>
        </w:rPr>
        <w:t xml:space="preserve"> </w:t>
      </w:r>
      <w:r w:rsidR="004C21C5">
        <w:rPr>
          <w:bCs/>
          <w:sz w:val="22"/>
          <w:szCs w:val="22"/>
        </w:rPr>
        <w:t>TPY</w:t>
      </w:r>
      <w:r w:rsidR="00F15093" w:rsidRPr="008556FD">
        <w:rPr>
          <w:bCs/>
          <w:sz w:val="22"/>
          <w:szCs w:val="22"/>
        </w:rPr>
        <w:t xml:space="preserve"> of </w:t>
      </w:r>
      <w:r w:rsidR="008556FD" w:rsidRPr="00665AD4">
        <w:rPr>
          <w:sz w:val="22"/>
          <w:szCs w:val="22"/>
        </w:rPr>
        <w:t>nitrogen oxides (NO</w:t>
      </w:r>
      <w:r w:rsidR="008556FD" w:rsidRPr="00665AD4">
        <w:rPr>
          <w:sz w:val="22"/>
          <w:szCs w:val="22"/>
          <w:vertAlign w:val="subscript"/>
        </w:rPr>
        <w:t>X</w:t>
      </w:r>
      <w:r w:rsidR="008556FD" w:rsidRPr="00665AD4">
        <w:rPr>
          <w:sz w:val="22"/>
          <w:szCs w:val="22"/>
        </w:rPr>
        <w:t>)</w:t>
      </w:r>
      <w:r w:rsidR="00F15093" w:rsidRPr="008556FD">
        <w:rPr>
          <w:bCs/>
          <w:sz w:val="22"/>
          <w:szCs w:val="22"/>
        </w:rPr>
        <w:t xml:space="preserve">; </w:t>
      </w:r>
      <w:r w:rsidR="004C21C5">
        <w:rPr>
          <w:bCs/>
          <w:sz w:val="22"/>
          <w:szCs w:val="22"/>
        </w:rPr>
        <w:t>12.5</w:t>
      </w:r>
      <w:r w:rsidR="008556FD" w:rsidRPr="008556FD">
        <w:rPr>
          <w:bCs/>
          <w:sz w:val="22"/>
          <w:szCs w:val="22"/>
        </w:rPr>
        <w:t xml:space="preserve"> </w:t>
      </w:r>
      <w:r w:rsidR="004C21C5">
        <w:rPr>
          <w:bCs/>
          <w:sz w:val="22"/>
          <w:szCs w:val="22"/>
        </w:rPr>
        <w:t>TPY</w:t>
      </w:r>
      <w:r w:rsidRPr="008556FD">
        <w:rPr>
          <w:bCs/>
          <w:sz w:val="22"/>
          <w:szCs w:val="22"/>
        </w:rPr>
        <w:t xml:space="preserve"> of</w:t>
      </w:r>
      <w:r w:rsidR="008556FD">
        <w:rPr>
          <w:bCs/>
          <w:sz w:val="22"/>
          <w:szCs w:val="22"/>
        </w:rPr>
        <w:t xml:space="preserve"> particulate matter (</w:t>
      </w:r>
      <w:r w:rsidRPr="008556FD">
        <w:rPr>
          <w:bCs/>
          <w:sz w:val="22"/>
          <w:szCs w:val="22"/>
        </w:rPr>
        <w:t>PM</w:t>
      </w:r>
      <w:r w:rsidR="008556FD">
        <w:rPr>
          <w:bCs/>
          <w:sz w:val="22"/>
          <w:szCs w:val="22"/>
        </w:rPr>
        <w:t>)</w:t>
      </w:r>
      <w:r w:rsidRPr="008556FD">
        <w:rPr>
          <w:bCs/>
          <w:sz w:val="22"/>
          <w:szCs w:val="22"/>
        </w:rPr>
        <w:t xml:space="preserve">; </w:t>
      </w:r>
      <w:r w:rsidR="004C21C5">
        <w:rPr>
          <w:bCs/>
          <w:sz w:val="22"/>
          <w:szCs w:val="22"/>
        </w:rPr>
        <w:t>28.9</w:t>
      </w:r>
      <w:r w:rsidR="00F90BBF" w:rsidRPr="008556FD">
        <w:rPr>
          <w:bCs/>
          <w:sz w:val="22"/>
          <w:szCs w:val="22"/>
        </w:rPr>
        <w:t xml:space="preserve"> </w:t>
      </w:r>
      <w:r w:rsidR="004C21C5">
        <w:rPr>
          <w:bCs/>
          <w:sz w:val="22"/>
          <w:szCs w:val="22"/>
        </w:rPr>
        <w:t>TPY</w:t>
      </w:r>
      <w:r w:rsidRPr="008556FD">
        <w:rPr>
          <w:bCs/>
          <w:sz w:val="22"/>
          <w:szCs w:val="22"/>
        </w:rPr>
        <w:t xml:space="preserve"> of </w:t>
      </w:r>
      <w:r w:rsidR="008556FD">
        <w:rPr>
          <w:sz w:val="22"/>
          <w:szCs w:val="22"/>
        </w:rPr>
        <w:t>PM</w:t>
      </w:r>
      <w:r w:rsidR="008556FD" w:rsidRPr="00665AD4">
        <w:rPr>
          <w:sz w:val="22"/>
          <w:szCs w:val="22"/>
        </w:rPr>
        <w:t xml:space="preserve"> with a mean diameter of 10 micrometer (µm) or less (PM</w:t>
      </w:r>
      <w:r w:rsidR="008556FD" w:rsidRPr="00665AD4">
        <w:rPr>
          <w:sz w:val="22"/>
          <w:szCs w:val="22"/>
          <w:vertAlign w:val="subscript"/>
        </w:rPr>
        <w:t>10</w:t>
      </w:r>
      <w:r w:rsidR="008556FD" w:rsidRPr="00665AD4">
        <w:rPr>
          <w:sz w:val="22"/>
          <w:szCs w:val="22"/>
        </w:rPr>
        <w:t>)</w:t>
      </w:r>
      <w:r w:rsidRPr="008556FD">
        <w:rPr>
          <w:bCs/>
          <w:sz w:val="22"/>
          <w:szCs w:val="22"/>
        </w:rPr>
        <w:t xml:space="preserve">; </w:t>
      </w:r>
      <w:r w:rsidR="004C21C5">
        <w:rPr>
          <w:bCs/>
          <w:sz w:val="22"/>
          <w:szCs w:val="22"/>
        </w:rPr>
        <w:t>35.9</w:t>
      </w:r>
      <w:r w:rsidR="00F90BBF" w:rsidRPr="008556FD">
        <w:rPr>
          <w:bCs/>
          <w:sz w:val="22"/>
          <w:szCs w:val="22"/>
        </w:rPr>
        <w:t xml:space="preserve"> </w:t>
      </w:r>
      <w:r w:rsidR="004C21C5">
        <w:rPr>
          <w:bCs/>
          <w:sz w:val="22"/>
          <w:szCs w:val="22"/>
        </w:rPr>
        <w:t>TPY</w:t>
      </w:r>
      <w:r w:rsidR="00F90BBF" w:rsidRPr="008556FD">
        <w:rPr>
          <w:bCs/>
          <w:sz w:val="22"/>
          <w:szCs w:val="22"/>
        </w:rPr>
        <w:t xml:space="preserve"> of </w:t>
      </w:r>
      <w:r w:rsidR="008556FD" w:rsidRPr="00665AD4">
        <w:rPr>
          <w:sz w:val="22"/>
          <w:szCs w:val="22"/>
        </w:rPr>
        <w:t>PM with a mean diameter of 2.5 µm or less (PM</w:t>
      </w:r>
      <w:r w:rsidR="008556FD" w:rsidRPr="00665AD4">
        <w:rPr>
          <w:sz w:val="22"/>
          <w:szCs w:val="22"/>
          <w:vertAlign w:val="subscript"/>
        </w:rPr>
        <w:t>2.5</w:t>
      </w:r>
      <w:r w:rsidR="008556FD" w:rsidRPr="00665AD4">
        <w:rPr>
          <w:sz w:val="22"/>
          <w:szCs w:val="22"/>
        </w:rPr>
        <w:t>)</w:t>
      </w:r>
      <w:r w:rsidR="00F90BBF" w:rsidRPr="008556FD">
        <w:rPr>
          <w:bCs/>
          <w:sz w:val="22"/>
          <w:szCs w:val="22"/>
        </w:rPr>
        <w:t>;</w:t>
      </w:r>
      <w:r w:rsidRPr="008556FD">
        <w:rPr>
          <w:bCs/>
          <w:sz w:val="22"/>
          <w:szCs w:val="22"/>
        </w:rPr>
        <w:t xml:space="preserve"> </w:t>
      </w:r>
      <w:r w:rsidR="004C21C5">
        <w:rPr>
          <w:bCs/>
          <w:sz w:val="22"/>
          <w:szCs w:val="22"/>
        </w:rPr>
        <w:t>36.6</w:t>
      </w:r>
      <w:r w:rsidR="00F15093" w:rsidRPr="008556FD">
        <w:rPr>
          <w:bCs/>
          <w:sz w:val="22"/>
          <w:szCs w:val="22"/>
        </w:rPr>
        <w:t xml:space="preserve"> </w:t>
      </w:r>
      <w:r w:rsidR="004C21C5">
        <w:rPr>
          <w:bCs/>
          <w:sz w:val="22"/>
          <w:szCs w:val="22"/>
        </w:rPr>
        <w:t>TPY</w:t>
      </w:r>
      <w:r w:rsidR="00F15093" w:rsidRPr="008556FD">
        <w:rPr>
          <w:bCs/>
          <w:sz w:val="22"/>
          <w:szCs w:val="22"/>
        </w:rPr>
        <w:t xml:space="preserve"> of sulfur dioxide (SO</w:t>
      </w:r>
      <w:r w:rsidR="00F15093" w:rsidRPr="008556FD">
        <w:rPr>
          <w:bCs/>
          <w:sz w:val="22"/>
          <w:szCs w:val="22"/>
          <w:vertAlign w:val="subscript"/>
        </w:rPr>
        <w:t>2</w:t>
      </w:r>
      <w:r w:rsidR="00F15093" w:rsidRPr="008556FD">
        <w:rPr>
          <w:bCs/>
          <w:sz w:val="22"/>
          <w:szCs w:val="22"/>
        </w:rPr>
        <w:t>);</w:t>
      </w:r>
      <w:r w:rsidR="00F83BA2" w:rsidRPr="008556FD">
        <w:rPr>
          <w:bCs/>
          <w:sz w:val="22"/>
          <w:szCs w:val="22"/>
        </w:rPr>
        <w:t xml:space="preserve"> </w:t>
      </w:r>
      <w:r w:rsidR="004C21C5">
        <w:rPr>
          <w:bCs/>
          <w:sz w:val="22"/>
          <w:szCs w:val="22"/>
        </w:rPr>
        <w:t>6.2 TPY of sulfuric acid mist (SAM); 20.9</w:t>
      </w:r>
      <w:r w:rsidRPr="008556FD">
        <w:rPr>
          <w:bCs/>
          <w:sz w:val="22"/>
          <w:szCs w:val="22"/>
        </w:rPr>
        <w:t xml:space="preserve"> </w:t>
      </w:r>
      <w:r w:rsidR="004C21C5">
        <w:rPr>
          <w:bCs/>
          <w:sz w:val="22"/>
          <w:szCs w:val="22"/>
        </w:rPr>
        <w:t>TPY</w:t>
      </w:r>
      <w:r w:rsidRPr="008556FD">
        <w:rPr>
          <w:bCs/>
          <w:sz w:val="22"/>
          <w:szCs w:val="22"/>
        </w:rPr>
        <w:t xml:space="preserve"> of volatile organic compounds (VOC)</w:t>
      </w:r>
      <w:r w:rsidR="004C21C5">
        <w:rPr>
          <w:bCs/>
          <w:sz w:val="22"/>
          <w:szCs w:val="22"/>
        </w:rPr>
        <w:t xml:space="preserve">; and </w:t>
      </w:r>
      <w:r w:rsidR="004C21C5" w:rsidRPr="004C21C5">
        <w:rPr>
          <w:bCs/>
          <w:sz w:val="22"/>
          <w:szCs w:val="22"/>
        </w:rPr>
        <w:t>669,283</w:t>
      </w:r>
      <w:r w:rsidR="004C21C5">
        <w:rPr>
          <w:bCs/>
          <w:sz w:val="22"/>
          <w:szCs w:val="22"/>
        </w:rPr>
        <w:t xml:space="preserve"> TPY of carbon dioxide equivalents (CO</w:t>
      </w:r>
      <w:r w:rsidR="004C21C5" w:rsidRPr="004C21C5">
        <w:rPr>
          <w:bCs/>
          <w:sz w:val="22"/>
          <w:szCs w:val="22"/>
          <w:vertAlign w:val="subscript"/>
        </w:rPr>
        <w:t>2</w:t>
      </w:r>
      <w:r w:rsidR="004C21C5">
        <w:rPr>
          <w:bCs/>
          <w:sz w:val="22"/>
          <w:szCs w:val="22"/>
        </w:rPr>
        <w:t>e)</w:t>
      </w:r>
      <w:r w:rsidRPr="008556FD">
        <w:rPr>
          <w:bCs/>
          <w:sz w:val="22"/>
          <w:szCs w:val="22"/>
        </w:rPr>
        <w:t>.</w:t>
      </w:r>
      <w:r w:rsidRPr="00865CD9">
        <w:rPr>
          <w:bCs/>
          <w:sz w:val="22"/>
          <w:szCs w:val="22"/>
        </w:rPr>
        <w:t xml:space="preserve">  As defined in Rule 62-210.</w:t>
      </w:r>
      <w:r w:rsidR="009524C0">
        <w:rPr>
          <w:bCs/>
          <w:sz w:val="22"/>
          <w:szCs w:val="22"/>
        </w:rPr>
        <w:t xml:space="preserve">200, </w:t>
      </w:r>
      <w:r w:rsidRPr="00865CD9">
        <w:rPr>
          <w:bCs/>
          <w:sz w:val="22"/>
          <w:szCs w:val="22"/>
        </w:rPr>
        <w:t xml:space="preserve">F.A.C., the project results in significant net emissions increases </w:t>
      </w:r>
      <w:r w:rsidRPr="008556FD">
        <w:rPr>
          <w:bCs/>
          <w:sz w:val="22"/>
          <w:szCs w:val="22"/>
        </w:rPr>
        <w:t>for</w:t>
      </w:r>
      <w:r w:rsidR="00240F90">
        <w:rPr>
          <w:bCs/>
          <w:sz w:val="22"/>
          <w:szCs w:val="22"/>
        </w:rPr>
        <w:t xml:space="preserve"> </w:t>
      </w:r>
      <w:r w:rsidRPr="008556FD">
        <w:rPr>
          <w:bCs/>
          <w:sz w:val="22"/>
          <w:szCs w:val="22"/>
        </w:rPr>
        <w:t>PM</w:t>
      </w:r>
      <w:r w:rsidRPr="008556FD">
        <w:rPr>
          <w:bCs/>
          <w:sz w:val="22"/>
          <w:szCs w:val="22"/>
          <w:vertAlign w:val="subscript"/>
        </w:rPr>
        <w:t>10</w:t>
      </w:r>
      <w:r w:rsidR="004C21C5">
        <w:rPr>
          <w:bCs/>
          <w:sz w:val="22"/>
          <w:szCs w:val="22"/>
        </w:rPr>
        <w:t xml:space="preserve">, </w:t>
      </w:r>
      <w:r w:rsidR="00BE279B" w:rsidRPr="008556FD">
        <w:rPr>
          <w:bCs/>
          <w:sz w:val="22"/>
          <w:szCs w:val="22"/>
        </w:rPr>
        <w:t>PM</w:t>
      </w:r>
      <w:r w:rsidR="00BE279B" w:rsidRPr="008556FD">
        <w:rPr>
          <w:bCs/>
          <w:sz w:val="22"/>
          <w:szCs w:val="22"/>
          <w:vertAlign w:val="subscript"/>
        </w:rPr>
        <w:t>2.5</w:t>
      </w:r>
      <w:r w:rsidR="00240F90">
        <w:rPr>
          <w:bCs/>
          <w:sz w:val="22"/>
          <w:szCs w:val="22"/>
        </w:rPr>
        <w:t xml:space="preserve"> </w:t>
      </w:r>
      <w:r w:rsidR="004C21C5">
        <w:rPr>
          <w:bCs/>
          <w:sz w:val="22"/>
          <w:szCs w:val="22"/>
        </w:rPr>
        <w:t>and CO</w:t>
      </w:r>
      <w:r w:rsidR="004C21C5" w:rsidRPr="004C21C5">
        <w:rPr>
          <w:bCs/>
          <w:sz w:val="22"/>
          <w:szCs w:val="22"/>
          <w:vertAlign w:val="subscript"/>
        </w:rPr>
        <w:t>2</w:t>
      </w:r>
      <w:r w:rsidR="004C21C5">
        <w:rPr>
          <w:bCs/>
          <w:sz w:val="22"/>
          <w:szCs w:val="22"/>
        </w:rPr>
        <w:t xml:space="preserve">e </w:t>
      </w:r>
      <w:r w:rsidR="008217A1">
        <w:rPr>
          <w:bCs/>
          <w:sz w:val="22"/>
          <w:szCs w:val="22"/>
        </w:rPr>
        <w:t>thereby requiring a Best Available Control Technology (BACT) determination for these pollutants</w:t>
      </w:r>
      <w:r w:rsidR="008556FD" w:rsidRPr="008556FD">
        <w:rPr>
          <w:bCs/>
          <w:sz w:val="22"/>
          <w:szCs w:val="22"/>
        </w:rPr>
        <w:t>.</w:t>
      </w:r>
      <w:r w:rsidR="008217A1">
        <w:rPr>
          <w:bCs/>
          <w:sz w:val="22"/>
          <w:szCs w:val="22"/>
        </w:rPr>
        <w:t xml:space="preserve"> </w:t>
      </w:r>
      <w:r w:rsidR="008556FD">
        <w:rPr>
          <w:bCs/>
          <w:sz w:val="22"/>
          <w:szCs w:val="22"/>
        </w:rPr>
        <w:t xml:space="preserve"> </w:t>
      </w:r>
    </w:p>
    <w:p w:rsidR="00B52667" w:rsidRPr="008556FD" w:rsidRDefault="008217A1" w:rsidP="00B52667">
      <w:pPr>
        <w:pStyle w:val="BodyTextIndent"/>
        <w:spacing w:after="120"/>
        <w:ind w:firstLine="0"/>
        <w:jc w:val="left"/>
        <w:rPr>
          <w:bCs/>
          <w:szCs w:val="22"/>
        </w:rPr>
      </w:pPr>
      <w:r>
        <w:rPr>
          <w:bCs/>
          <w:szCs w:val="22"/>
        </w:rPr>
        <w:t>T</w:t>
      </w:r>
      <w:r w:rsidR="00B52667" w:rsidRPr="009A5EC0">
        <w:rPr>
          <w:bCs/>
          <w:szCs w:val="22"/>
        </w:rPr>
        <w:t xml:space="preserve">he Department is required to determine the BACT and </w:t>
      </w:r>
      <w:r w:rsidR="00CD0E6F">
        <w:rPr>
          <w:bCs/>
          <w:szCs w:val="22"/>
        </w:rPr>
        <w:t>evaluate</w:t>
      </w:r>
      <w:r w:rsidR="00B52667" w:rsidRPr="009A5EC0">
        <w:rPr>
          <w:bCs/>
          <w:szCs w:val="22"/>
        </w:rPr>
        <w:t xml:space="preserve"> the applicant’s Air Quality Analysis regarding ambient impacts due to the project.  The Department’s preliminary BACT determinations for </w:t>
      </w:r>
      <w:r>
        <w:rPr>
          <w:bCs/>
          <w:szCs w:val="22"/>
        </w:rPr>
        <w:t>the</w:t>
      </w:r>
      <w:r w:rsidR="00B52667" w:rsidRPr="009A5EC0">
        <w:rPr>
          <w:bCs/>
          <w:szCs w:val="22"/>
        </w:rPr>
        <w:t xml:space="preserve"> pollutants</w:t>
      </w:r>
      <w:r>
        <w:rPr>
          <w:bCs/>
          <w:szCs w:val="22"/>
        </w:rPr>
        <w:t xml:space="preserve"> listed in the previous paragraph</w:t>
      </w:r>
      <w:r w:rsidR="00B52667" w:rsidRPr="009A5EC0">
        <w:rPr>
          <w:bCs/>
          <w:szCs w:val="22"/>
        </w:rPr>
        <w:t xml:space="preserve"> are based on:  </w:t>
      </w:r>
      <w:r w:rsidR="004C21C5">
        <w:rPr>
          <w:bCs/>
          <w:szCs w:val="22"/>
        </w:rPr>
        <w:t>c</w:t>
      </w:r>
      <w:r w:rsidR="00936894">
        <w:rPr>
          <w:bCs/>
          <w:szCs w:val="22"/>
        </w:rPr>
        <w:t xml:space="preserve">lean, </w:t>
      </w:r>
      <w:r w:rsidR="008556FD">
        <w:rPr>
          <w:bCs/>
          <w:szCs w:val="22"/>
        </w:rPr>
        <w:t>low sulfur fuels to control to control PM</w:t>
      </w:r>
      <w:r w:rsidR="008556FD" w:rsidRPr="008556FD">
        <w:rPr>
          <w:bCs/>
          <w:szCs w:val="22"/>
          <w:vertAlign w:val="subscript"/>
        </w:rPr>
        <w:t>10</w:t>
      </w:r>
      <w:r w:rsidR="008556FD">
        <w:rPr>
          <w:bCs/>
          <w:szCs w:val="22"/>
        </w:rPr>
        <w:t>/PM</w:t>
      </w:r>
      <w:r w:rsidR="008556FD" w:rsidRPr="008556FD">
        <w:rPr>
          <w:bCs/>
          <w:szCs w:val="22"/>
          <w:vertAlign w:val="subscript"/>
        </w:rPr>
        <w:t>2.5</w:t>
      </w:r>
      <w:r w:rsidR="008556FD">
        <w:rPr>
          <w:bCs/>
          <w:szCs w:val="22"/>
        </w:rPr>
        <w:t xml:space="preserve"> emissions</w:t>
      </w:r>
      <w:r w:rsidR="004C21C5">
        <w:rPr>
          <w:bCs/>
          <w:szCs w:val="22"/>
        </w:rPr>
        <w:t>; and the use of natural gas as the primary fuel with the limit use of fuel oil as a backup fuel fired in efficient CT technology to control CO</w:t>
      </w:r>
      <w:r w:rsidR="004C21C5" w:rsidRPr="004C21C5">
        <w:rPr>
          <w:bCs/>
          <w:szCs w:val="22"/>
          <w:vertAlign w:val="subscript"/>
        </w:rPr>
        <w:t>2</w:t>
      </w:r>
      <w:r w:rsidR="004C21C5">
        <w:rPr>
          <w:bCs/>
          <w:szCs w:val="22"/>
        </w:rPr>
        <w:t xml:space="preserve">e.  </w:t>
      </w:r>
      <w:r w:rsidR="00A51F32">
        <w:rPr>
          <w:bCs/>
          <w:szCs w:val="22"/>
        </w:rPr>
        <w:t>Low sulfur fuels</w:t>
      </w:r>
      <w:r w:rsidR="00936894">
        <w:rPr>
          <w:bCs/>
          <w:szCs w:val="22"/>
        </w:rPr>
        <w:t xml:space="preserve"> </w:t>
      </w:r>
      <w:r w:rsidR="00A51F32">
        <w:rPr>
          <w:bCs/>
          <w:szCs w:val="22"/>
        </w:rPr>
        <w:t>provide</w:t>
      </w:r>
      <w:r w:rsidR="00936894">
        <w:rPr>
          <w:bCs/>
          <w:szCs w:val="22"/>
        </w:rPr>
        <w:t xml:space="preserve"> the added benefit of controlling</w:t>
      </w:r>
      <w:r w:rsidR="00936894" w:rsidRPr="00936894">
        <w:rPr>
          <w:bCs/>
          <w:szCs w:val="22"/>
        </w:rPr>
        <w:t xml:space="preserve"> </w:t>
      </w:r>
      <w:r w:rsidR="00936894">
        <w:rPr>
          <w:bCs/>
          <w:szCs w:val="22"/>
        </w:rPr>
        <w:t>SO</w:t>
      </w:r>
      <w:r w:rsidR="00936894" w:rsidRPr="008556FD">
        <w:rPr>
          <w:bCs/>
          <w:szCs w:val="22"/>
          <w:vertAlign w:val="subscript"/>
        </w:rPr>
        <w:t>2</w:t>
      </w:r>
      <w:r w:rsidR="00936894">
        <w:rPr>
          <w:bCs/>
          <w:szCs w:val="22"/>
        </w:rPr>
        <w:t xml:space="preserve"> and </w:t>
      </w:r>
      <w:r w:rsidR="00A51F32">
        <w:rPr>
          <w:bCs/>
          <w:szCs w:val="22"/>
        </w:rPr>
        <w:t>sulfuric acid mist</w:t>
      </w:r>
      <w:r w:rsidR="00936894">
        <w:rPr>
          <w:bCs/>
          <w:szCs w:val="22"/>
        </w:rPr>
        <w:t xml:space="preserve"> emissions</w:t>
      </w:r>
      <w:r w:rsidR="008556FD">
        <w:rPr>
          <w:bCs/>
          <w:szCs w:val="22"/>
        </w:rPr>
        <w:t>.</w:t>
      </w:r>
    </w:p>
    <w:p w:rsidR="00452906" w:rsidRDefault="005F5675" w:rsidP="00452906">
      <w:pPr>
        <w:spacing w:after="120"/>
        <w:rPr>
          <w:sz w:val="22"/>
          <w:szCs w:val="22"/>
        </w:rPr>
      </w:pPr>
      <w:r w:rsidRPr="004E246C">
        <w:rPr>
          <w:sz w:val="22"/>
          <w:szCs w:val="22"/>
        </w:rPr>
        <w:t xml:space="preserve">The applicant performed ambient air quality analyses as required.  Based on the modeling results, the maximum predicted ambient air quality impacts for </w:t>
      </w:r>
      <w:r w:rsidRPr="004E246C">
        <w:rPr>
          <w:bCs/>
          <w:sz w:val="22"/>
          <w:szCs w:val="22"/>
        </w:rPr>
        <w:t>both PM</w:t>
      </w:r>
      <w:r w:rsidRPr="004E246C">
        <w:rPr>
          <w:bCs/>
          <w:sz w:val="22"/>
          <w:szCs w:val="22"/>
          <w:vertAlign w:val="subscript"/>
        </w:rPr>
        <w:t>10</w:t>
      </w:r>
      <w:r w:rsidRPr="004E246C">
        <w:rPr>
          <w:bCs/>
          <w:sz w:val="22"/>
          <w:szCs w:val="22"/>
        </w:rPr>
        <w:t xml:space="preserve"> and PM</w:t>
      </w:r>
      <w:r w:rsidRPr="004E246C">
        <w:rPr>
          <w:bCs/>
          <w:sz w:val="22"/>
          <w:szCs w:val="22"/>
          <w:vertAlign w:val="subscript"/>
        </w:rPr>
        <w:t>2.5</w:t>
      </w:r>
      <w:r w:rsidRPr="004E246C">
        <w:rPr>
          <w:bCs/>
          <w:sz w:val="22"/>
          <w:szCs w:val="22"/>
        </w:rPr>
        <w:t xml:space="preserve"> </w:t>
      </w:r>
      <w:r w:rsidR="004C21C5">
        <w:rPr>
          <w:bCs/>
          <w:sz w:val="22"/>
          <w:szCs w:val="22"/>
        </w:rPr>
        <w:t>did not exceed</w:t>
      </w:r>
      <w:r w:rsidRPr="004E246C">
        <w:rPr>
          <w:bCs/>
          <w:sz w:val="22"/>
          <w:szCs w:val="22"/>
        </w:rPr>
        <w:t xml:space="preserve"> the Class I </w:t>
      </w:r>
      <w:r w:rsidRPr="004E246C">
        <w:rPr>
          <w:sz w:val="22"/>
          <w:szCs w:val="22"/>
        </w:rPr>
        <w:t xml:space="preserve">significant impact levels (SILs) </w:t>
      </w:r>
      <w:r w:rsidR="00452906">
        <w:rPr>
          <w:sz w:val="22"/>
          <w:szCs w:val="22"/>
        </w:rPr>
        <w:t>in micrograms per cubic meter (</w:t>
      </w:r>
      <w:r w:rsidR="00452906" w:rsidRPr="00452906">
        <w:rPr>
          <w:sz w:val="22"/>
          <w:szCs w:val="22"/>
        </w:rPr>
        <w:t>µg/m</w:t>
      </w:r>
      <w:r w:rsidR="00452906" w:rsidRPr="00452906">
        <w:rPr>
          <w:sz w:val="22"/>
          <w:szCs w:val="22"/>
          <w:vertAlign w:val="superscript"/>
        </w:rPr>
        <w:t>3</w:t>
      </w:r>
      <w:r w:rsidR="00452906">
        <w:rPr>
          <w:sz w:val="22"/>
          <w:szCs w:val="22"/>
        </w:rPr>
        <w:t xml:space="preserve">) </w:t>
      </w:r>
      <w:r w:rsidRPr="004E246C">
        <w:rPr>
          <w:sz w:val="22"/>
          <w:szCs w:val="22"/>
        </w:rPr>
        <w:t>applicable at the nearest PSD Class I area</w:t>
      </w:r>
      <w:r w:rsidR="00452906">
        <w:rPr>
          <w:sz w:val="22"/>
          <w:szCs w:val="22"/>
        </w:rPr>
        <w:t>s</w:t>
      </w:r>
      <w:r w:rsidRPr="004E246C">
        <w:rPr>
          <w:sz w:val="22"/>
          <w:szCs w:val="22"/>
        </w:rPr>
        <w:t xml:space="preserve">; </w:t>
      </w:r>
      <w:r w:rsidR="00452906" w:rsidRPr="00452906">
        <w:rPr>
          <w:sz w:val="22"/>
          <w:szCs w:val="22"/>
        </w:rPr>
        <w:t xml:space="preserve">Bradwell Bay </w:t>
      </w:r>
      <w:r w:rsidR="00452906" w:rsidRPr="00452906">
        <w:rPr>
          <w:sz w:val="22"/>
          <w:szCs w:val="22"/>
        </w:rPr>
        <w:lastRenderedPageBreak/>
        <w:t>Wilderness</w:t>
      </w:r>
      <w:r w:rsidR="00452906">
        <w:rPr>
          <w:sz w:val="22"/>
          <w:szCs w:val="22"/>
        </w:rPr>
        <w:t xml:space="preserve"> (BBW)</w:t>
      </w:r>
      <w:r w:rsidR="00452906" w:rsidRPr="00452906">
        <w:rPr>
          <w:sz w:val="22"/>
          <w:szCs w:val="22"/>
        </w:rPr>
        <w:t>, Chassahowitzka Wilderness</w:t>
      </w:r>
      <w:r w:rsidR="00452906">
        <w:rPr>
          <w:sz w:val="22"/>
          <w:szCs w:val="22"/>
        </w:rPr>
        <w:t xml:space="preserve"> (CW)</w:t>
      </w:r>
      <w:r w:rsidR="00452906" w:rsidRPr="00452906">
        <w:rPr>
          <w:sz w:val="22"/>
          <w:szCs w:val="22"/>
        </w:rPr>
        <w:t>, Okefenokee Wilderness</w:t>
      </w:r>
      <w:r w:rsidR="00452906">
        <w:rPr>
          <w:sz w:val="22"/>
          <w:szCs w:val="22"/>
        </w:rPr>
        <w:t xml:space="preserve"> (OW)</w:t>
      </w:r>
      <w:r w:rsidR="00452906" w:rsidRPr="00452906">
        <w:rPr>
          <w:sz w:val="22"/>
          <w:szCs w:val="22"/>
        </w:rPr>
        <w:t>, Saint Marks Wilderness</w:t>
      </w:r>
      <w:r w:rsidR="00452906">
        <w:rPr>
          <w:sz w:val="22"/>
          <w:szCs w:val="22"/>
        </w:rPr>
        <w:t xml:space="preserve"> (SMW)</w:t>
      </w:r>
      <w:r w:rsidR="00452906" w:rsidRPr="00452906">
        <w:rPr>
          <w:sz w:val="22"/>
          <w:szCs w:val="22"/>
        </w:rPr>
        <w:t>, and Wolf Island Wilderness</w:t>
      </w:r>
      <w:r w:rsidR="00452906">
        <w:rPr>
          <w:sz w:val="22"/>
          <w:szCs w:val="22"/>
        </w:rPr>
        <w:t xml:space="preserve"> (WIW)</w:t>
      </w:r>
      <w:r w:rsidRPr="004E246C">
        <w:rPr>
          <w:sz w:val="22"/>
          <w:szCs w:val="22"/>
        </w:rPr>
        <w:t xml:space="preserve">.  Consequently, </w:t>
      </w:r>
      <w:r w:rsidRPr="004E246C">
        <w:rPr>
          <w:bCs/>
          <w:sz w:val="22"/>
          <w:szCs w:val="22"/>
        </w:rPr>
        <w:t xml:space="preserve">comprehensive multi-source modeling was </w:t>
      </w:r>
      <w:r w:rsidR="00452906">
        <w:rPr>
          <w:bCs/>
          <w:sz w:val="22"/>
          <w:szCs w:val="22"/>
        </w:rPr>
        <w:t xml:space="preserve">not </w:t>
      </w:r>
      <w:r w:rsidRPr="004E246C">
        <w:rPr>
          <w:bCs/>
          <w:sz w:val="22"/>
          <w:szCs w:val="22"/>
        </w:rPr>
        <w:t>necessary to show that concentrations of these</w:t>
      </w:r>
      <w:r w:rsidRPr="002774CE">
        <w:rPr>
          <w:bCs/>
          <w:sz w:val="22"/>
        </w:rPr>
        <w:t xml:space="preserve"> pollutants </w:t>
      </w:r>
      <w:r>
        <w:rPr>
          <w:bCs/>
          <w:sz w:val="22"/>
        </w:rPr>
        <w:t>did</w:t>
      </w:r>
      <w:r w:rsidRPr="002774CE">
        <w:rPr>
          <w:bCs/>
          <w:sz w:val="22"/>
        </w:rPr>
        <w:t xml:space="preserve"> not exceed </w:t>
      </w:r>
      <w:r w:rsidR="000517FA">
        <w:rPr>
          <w:bCs/>
          <w:sz w:val="22"/>
        </w:rPr>
        <w:t xml:space="preserve">the </w:t>
      </w:r>
      <w:r w:rsidRPr="002774CE">
        <w:rPr>
          <w:bCs/>
          <w:sz w:val="22"/>
        </w:rPr>
        <w:t xml:space="preserve">PSD </w:t>
      </w:r>
      <w:r w:rsidRPr="004E246C">
        <w:rPr>
          <w:bCs/>
          <w:sz w:val="22"/>
          <w:szCs w:val="22"/>
        </w:rPr>
        <w:t>Class I increments</w:t>
      </w:r>
      <w:r w:rsidRPr="004E246C">
        <w:rPr>
          <w:sz w:val="22"/>
          <w:szCs w:val="22"/>
        </w:rPr>
        <w:t xml:space="preserve">.  </w:t>
      </w:r>
    </w:p>
    <w:tbl>
      <w:tblPr>
        <w:tblW w:w="9247" w:type="dxa"/>
        <w:tblInd w:w="180" w:type="dxa"/>
        <w:shd w:val="clear" w:color="auto" w:fill="FFFFFF"/>
        <w:tblLayout w:type="fixed"/>
        <w:tblLook w:val="0000" w:firstRow="0" w:lastRow="0" w:firstColumn="0" w:lastColumn="0" w:noHBand="0" w:noVBand="0"/>
      </w:tblPr>
      <w:tblGrid>
        <w:gridCol w:w="980"/>
        <w:gridCol w:w="1080"/>
        <w:gridCol w:w="810"/>
        <w:gridCol w:w="1080"/>
        <w:gridCol w:w="1080"/>
        <w:gridCol w:w="1080"/>
        <w:gridCol w:w="1170"/>
        <w:gridCol w:w="900"/>
        <w:gridCol w:w="1067"/>
      </w:tblGrid>
      <w:tr w:rsidR="00452906" w:rsidRPr="00452906" w:rsidTr="00452906">
        <w:trPr>
          <w:trHeight w:val="20"/>
          <w:tblHeader/>
        </w:trPr>
        <w:tc>
          <w:tcPr>
            <w:tcW w:w="9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rPr>
                <w:b/>
                <w:u w:val="single"/>
              </w:rPr>
            </w:pPr>
            <w:r w:rsidRPr="00452906">
              <w:rPr>
                <w:b/>
                <w:u w:val="single"/>
              </w:rPr>
              <w:t>Pollutant</w:t>
            </w:r>
          </w:p>
        </w:tc>
        <w:tc>
          <w:tcPr>
            <w:tcW w:w="10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09"/>
              <w:jc w:val="center"/>
              <w:rPr>
                <w:b/>
              </w:rPr>
            </w:pPr>
            <w:r w:rsidRPr="00452906">
              <w:rPr>
                <w:b/>
              </w:rPr>
              <w:t xml:space="preserve">Averaging </w:t>
            </w:r>
            <w:r w:rsidRPr="00452906">
              <w:rPr>
                <w:b/>
                <w:u w:val="single"/>
              </w:rPr>
              <w:t>Time</w:t>
            </w:r>
          </w:p>
        </w:tc>
        <w:tc>
          <w:tcPr>
            <w:tcW w:w="81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33"/>
              <w:jc w:val="center"/>
              <w:rPr>
                <w:b/>
                <w:u w:val="single"/>
              </w:rPr>
            </w:pPr>
            <w:r w:rsidRPr="00452906">
              <w:rPr>
                <w:b/>
                <w:u w:val="single"/>
              </w:rPr>
              <w:t>BBW</w:t>
            </w:r>
          </w:p>
        </w:tc>
        <w:tc>
          <w:tcPr>
            <w:tcW w:w="1080" w:type="dxa"/>
            <w:shd w:val="clear" w:color="auto" w:fill="auto"/>
            <w:vAlign w:val="center"/>
          </w:tcPr>
          <w:p w:rsidR="00452906" w:rsidRPr="00452906" w:rsidRDefault="00452906" w:rsidP="00452906">
            <w:pPr>
              <w:autoSpaceDE w:val="0"/>
              <w:autoSpaceDN w:val="0"/>
              <w:adjustRightInd w:val="0"/>
              <w:ind w:left="133"/>
              <w:jc w:val="center"/>
              <w:rPr>
                <w:b/>
                <w:u w:val="single"/>
              </w:rPr>
            </w:pPr>
            <w:r w:rsidRPr="00452906">
              <w:rPr>
                <w:b/>
                <w:u w:val="single"/>
              </w:rPr>
              <w:t>CW</w:t>
            </w:r>
          </w:p>
        </w:tc>
        <w:tc>
          <w:tcPr>
            <w:tcW w:w="1080" w:type="dxa"/>
            <w:shd w:val="clear" w:color="auto" w:fill="auto"/>
            <w:vAlign w:val="center"/>
          </w:tcPr>
          <w:p w:rsidR="00452906" w:rsidRPr="00452906" w:rsidRDefault="00452906" w:rsidP="00452906">
            <w:pPr>
              <w:autoSpaceDE w:val="0"/>
              <w:autoSpaceDN w:val="0"/>
              <w:adjustRightInd w:val="0"/>
              <w:ind w:left="133"/>
              <w:jc w:val="center"/>
              <w:rPr>
                <w:b/>
                <w:u w:val="single"/>
              </w:rPr>
            </w:pPr>
            <w:r w:rsidRPr="00452906">
              <w:rPr>
                <w:b/>
                <w:u w:val="single"/>
              </w:rPr>
              <w:t>OW</w:t>
            </w:r>
          </w:p>
        </w:tc>
        <w:tc>
          <w:tcPr>
            <w:tcW w:w="1080" w:type="dxa"/>
            <w:shd w:val="clear" w:color="auto" w:fill="auto"/>
            <w:vAlign w:val="center"/>
          </w:tcPr>
          <w:p w:rsidR="00452906" w:rsidRPr="00452906" w:rsidRDefault="00452906" w:rsidP="00452906">
            <w:pPr>
              <w:autoSpaceDE w:val="0"/>
              <w:autoSpaceDN w:val="0"/>
              <w:adjustRightInd w:val="0"/>
              <w:ind w:left="133"/>
              <w:jc w:val="center"/>
              <w:rPr>
                <w:b/>
                <w:u w:val="single"/>
              </w:rPr>
            </w:pPr>
            <w:r w:rsidRPr="00452906">
              <w:rPr>
                <w:b/>
                <w:u w:val="single"/>
              </w:rPr>
              <w:t>SMW</w:t>
            </w:r>
          </w:p>
        </w:tc>
        <w:tc>
          <w:tcPr>
            <w:tcW w:w="1170" w:type="dxa"/>
            <w:shd w:val="clear" w:color="auto" w:fill="auto"/>
            <w:vAlign w:val="center"/>
          </w:tcPr>
          <w:p w:rsidR="00452906" w:rsidRPr="00452906" w:rsidRDefault="00452906" w:rsidP="00452906">
            <w:pPr>
              <w:autoSpaceDE w:val="0"/>
              <w:autoSpaceDN w:val="0"/>
              <w:adjustRightInd w:val="0"/>
              <w:ind w:left="133"/>
              <w:jc w:val="center"/>
              <w:rPr>
                <w:b/>
                <w:u w:val="single"/>
              </w:rPr>
            </w:pPr>
            <w:r w:rsidRPr="00452906">
              <w:rPr>
                <w:b/>
                <w:u w:val="single"/>
              </w:rPr>
              <w:t>WIW</w:t>
            </w:r>
          </w:p>
        </w:tc>
        <w:tc>
          <w:tcPr>
            <w:tcW w:w="90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80"/>
              <w:jc w:val="center"/>
              <w:rPr>
                <w:b/>
              </w:rPr>
            </w:pPr>
            <w:r w:rsidRPr="00452906">
              <w:rPr>
                <w:b/>
              </w:rPr>
              <w:t xml:space="preserve">Class I SIL </w:t>
            </w:r>
            <w:r w:rsidRPr="00452906">
              <w:rPr>
                <w:b/>
                <w:u w:val="single"/>
              </w:rPr>
              <w:t>(µg/m</w:t>
            </w:r>
            <w:r w:rsidRPr="00452906">
              <w:rPr>
                <w:b/>
                <w:u w:val="single"/>
                <w:vertAlign w:val="superscript"/>
              </w:rPr>
              <w:t>3</w:t>
            </w:r>
            <w:r w:rsidRPr="00452906">
              <w:rPr>
                <w:b/>
                <w:u w:val="single"/>
              </w:rPr>
              <w:t>)</w:t>
            </w:r>
          </w:p>
        </w:tc>
        <w:tc>
          <w:tcPr>
            <w:tcW w:w="1067"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rPr>
                <w:b/>
              </w:rPr>
            </w:pPr>
            <w:r w:rsidRPr="00452906">
              <w:rPr>
                <w:b/>
              </w:rPr>
              <w:t xml:space="preserve">Significant </w:t>
            </w:r>
            <w:r w:rsidRPr="00452906">
              <w:rPr>
                <w:b/>
                <w:u w:val="single"/>
              </w:rPr>
              <w:t>Impact?</w:t>
            </w:r>
          </w:p>
        </w:tc>
      </w:tr>
      <w:tr w:rsidR="00452906" w:rsidRPr="00452906" w:rsidTr="00452906">
        <w:trPr>
          <w:cantSplit/>
          <w:trHeight w:val="658"/>
        </w:trPr>
        <w:tc>
          <w:tcPr>
            <w:tcW w:w="9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rPr>
                <w:vertAlign w:val="superscript"/>
              </w:rPr>
            </w:pPr>
            <w:r w:rsidRPr="00452906">
              <w:t>PM</w:t>
            </w:r>
            <w:r w:rsidRPr="00452906">
              <w:rPr>
                <w:vertAlign w:val="subscript"/>
              </w:rPr>
              <w:t>10</w:t>
            </w:r>
            <w:r w:rsidRPr="00452906">
              <w:t xml:space="preserve"> </w:t>
            </w:r>
            <w:r w:rsidRPr="00452906">
              <w:rPr>
                <w:b/>
                <w:vertAlign w:val="superscript"/>
              </w:rPr>
              <w:t>b</w:t>
            </w:r>
          </w:p>
        </w:tc>
        <w:tc>
          <w:tcPr>
            <w:tcW w:w="10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09"/>
              <w:jc w:val="center"/>
            </w:pPr>
            <w:r w:rsidRPr="00452906">
              <w:t>Annual</w:t>
            </w:r>
            <w:r w:rsidRPr="00452906">
              <w:br/>
              <w:t xml:space="preserve">24-Hour </w:t>
            </w:r>
          </w:p>
        </w:tc>
        <w:tc>
          <w:tcPr>
            <w:tcW w:w="81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33"/>
            </w:pPr>
            <w:r w:rsidRPr="00452906">
              <w:t>0.00192</w:t>
            </w:r>
          </w:p>
          <w:p w:rsidR="00452906" w:rsidRPr="00452906" w:rsidRDefault="00452906" w:rsidP="00452906">
            <w:pPr>
              <w:autoSpaceDE w:val="0"/>
              <w:autoSpaceDN w:val="0"/>
              <w:adjustRightInd w:val="0"/>
              <w:ind w:left="133"/>
            </w:pPr>
            <w:r w:rsidRPr="00452906">
              <w:t>0.03816</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0.00102</w:t>
            </w:r>
            <w:r w:rsidRPr="00452906">
              <w:br/>
              <w:t>0.02260</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0.00281</w:t>
            </w:r>
            <w:r w:rsidRPr="00452906">
              <w:br/>
              <w:t>0.05758</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0.00281</w:t>
            </w:r>
            <w:r w:rsidRPr="00452906">
              <w:br/>
              <w:t>0.04660</w:t>
            </w:r>
          </w:p>
        </w:tc>
        <w:tc>
          <w:tcPr>
            <w:tcW w:w="1170" w:type="dxa"/>
            <w:shd w:val="clear" w:color="auto" w:fill="auto"/>
            <w:vAlign w:val="center"/>
          </w:tcPr>
          <w:p w:rsidR="00452906" w:rsidRPr="00452906" w:rsidRDefault="00452906" w:rsidP="00452906">
            <w:pPr>
              <w:autoSpaceDE w:val="0"/>
              <w:autoSpaceDN w:val="0"/>
              <w:adjustRightInd w:val="0"/>
              <w:ind w:left="133"/>
            </w:pPr>
            <w:r w:rsidRPr="00452906">
              <w:t>0.00110</w:t>
            </w:r>
            <w:r w:rsidRPr="00452906">
              <w:br/>
              <w:t>0.02047</w:t>
            </w:r>
          </w:p>
        </w:tc>
        <w:tc>
          <w:tcPr>
            <w:tcW w:w="90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80"/>
              <w:jc w:val="center"/>
            </w:pPr>
            <w:r w:rsidRPr="00452906">
              <w:t>0.16</w:t>
            </w:r>
            <w:r w:rsidRPr="00452906">
              <w:br/>
              <w:t>0.32</w:t>
            </w:r>
          </w:p>
        </w:tc>
        <w:tc>
          <w:tcPr>
            <w:tcW w:w="1067"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pPr>
            <w:r w:rsidRPr="00452906">
              <w:t>No</w:t>
            </w:r>
            <w:r w:rsidRPr="00452906">
              <w:br/>
            </w:r>
            <w:proofErr w:type="spellStart"/>
            <w:r w:rsidRPr="00452906">
              <w:t>No</w:t>
            </w:r>
            <w:proofErr w:type="spellEnd"/>
          </w:p>
        </w:tc>
      </w:tr>
      <w:tr w:rsidR="00452906" w:rsidRPr="00452906" w:rsidTr="00452906">
        <w:trPr>
          <w:cantSplit/>
          <w:trHeight w:val="721"/>
        </w:trPr>
        <w:tc>
          <w:tcPr>
            <w:tcW w:w="9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pPr>
            <w:r w:rsidRPr="00452906">
              <w:t>PM</w:t>
            </w:r>
            <w:r w:rsidRPr="00452906">
              <w:rPr>
                <w:vertAlign w:val="subscript"/>
              </w:rPr>
              <w:t>2.5</w:t>
            </w:r>
            <w:r w:rsidRPr="00452906">
              <w:t xml:space="preserve"> </w:t>
            </w:r>
            <w:proofErr w:type="spellStart"/>
            <w:r w:rsidRPr="00452906">
              <w:rPr>
                <w:b/>
                <w:vertAlign w:val="superscript"/>
              </w:rPr>
              <w:t>a,b</w:t>
            </w:r>
            <w:proofErr w:type="spellEnd"/>
          </w:p>
        </w:tc>
        <w:tc>
          <w:tcPr>
            <w:tcW w:w="108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09"/>
              <w:jc w:val="center"/>
            </w:pPr>
            <w:r w:rsidRPr="00452906">
              <w:t>Annual</w:t>
            </w:r>
            <w:r w:rsidRPr="00452906">
              <w:br/>
              <w:t xml:space="preserve">24-hour </w:t>
            </w:r>
          </w:p>
        </w:tc>
        <w:tc>
          <w:tcPr>
            <w:tcW w:w="81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33"/>
            </w:pPr>
            <w:r w:rsidRPr="00452906">
              <w:t>0.00192</w:t>
            </w:r>
          </w:p>
          <w:p w:rsidR="00452906" w:rsidRPr="00452906" w:rsidRDefault="00452906" w:rsidP="00452906">
            <w:pPr>
              <w:autoSpaceDE w:val="0"/>
              <w:autoSpaceDN w:val="0"/>
              <w:adjustRightInd w:val="0"/>
              <w:ind w:left="133"/>
            </w:pPr>
            <w:r w:rsidRPr="00452906">
              <w:t>0.03816</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0.00102</w:t>
            </w:r>
            <w:r w:rsidRPr="00452906">
              <w:br/>
              <w:t>0.02260</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0.00281</w:t>
            </w:r>
            <w:r w:rsidRPr="00452906">
              <w:br/>
              <w:t>0.05758</w:t>
            </w:r>
          </w:p>
        </w:tc>
        <w:tc>
          <w:tcPr>
            <w:tcW w:w="1080" w:type="dxa"/>
            <w:shd w:val="clear" w:color="auto" w:fill="auto"/>
            <w:vAlign w:val="center"/>
          </w:tcPr>
          <w:p w:rsidR="00452906" w:rsidRPr="00452906" w:rsidRDefault="00452906" w:rsidP="00452906">
            <w:pPr>
              <w:autoSpaceDE w:val="0"/>
              <w:autoSpaceDN w:val="0"/>
              <w:adjustRightInd w:val="0"/>
              <w:ind w:left="133"/>
            </w:pPr>
            <w:r w:rsidRPr="00452906">
              <w:t>0.00281</w:t>
            </w:r>
            <w:r w:rsidRPr="00452906">
              <w:br/>
              <w:t>0.04660</w:t>
            </w:r>
          </w:p>
        </w:tc>
        <w:tc>
          <w:tcPr>
            <w:tcW w:w="1170" w:type="dxa"/>
            <w:shd w:val="clear" w:color="auto" w:fill="auto"/>
            <w:vAlign w:val="center"/>
          </w:tcPr>
          <w:p w:rsidR="00452906" w:rsidRPr="00452906" w:rsidRDefault="00452906" w:rsidP="00452906">
            <w:pPr>
              <w:autoSpaceDE w:val="0"/>
              <w:autoSpaceDN w:val="0"/>
              <w:adjustRightInd w:val="0"/>
              <w:ind w:left="133"/>
            </w:pPr>
            <w:r w:rsidRPr="00452906">
              <w:t>0.00110</w:t>
            </w:r>
            <w:r w:rsidRPr="00452906">
              <w:br/>
              <w:t>0.02047</w:t>
            </w:r>
          </w:p>
        </w:tc>
        <w:tc>
          <w:tcPr>
            <w:tcW w:w="900"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180"/>
              <w:jc w:val="center"/>
            </w:pPr>
            <w:r w:rsidRPr="00452906">
              <w:t>0.06</w:t>
            </w:r>
            <w:r w:rsidRPr="00452906">
              <w:br/>
              <w:t>0.07</w:t>
            </w:r>
          </w:p>
        </w:tc>
        <w:tc>
          <w:tcPr>
            <w:tcW w:w="1067" w:type="dxa"/>
            <w:shd w:val="clear" w:color="auto" w:fill="auto"/>
            <w:tcMar>
              <w:top w:w="0" w:type="dxa"/>
              <w:left w:w="0" w:type="dxa"/>
              <w:bottom w:w="0" w:type="dxa"/>
              <w:right w:w="0" w:type="dxa"/>
            </w:tcMar>
            <w:vAlign w:val="center"/>
          </w:tcPr>
          <w:p w:rsidR="00452906" w:rsidRPr="00452906" w:rsidRDefault="00452906" w:rsidP="00452906">
            <w:pPr>
              <w:autoSpaceDE w:val="0"/>
              <w:autoSpaceDN w:val="0"/>
              <w:adjustRightInd w:val="0"/>
              <w:ind w:left="90"/>
              <w:jc w:val="center"/>
            </w:pPr>
            <w:r w:rsidRPr="00452906">
              <w:t>No</w:t>
            </w:r>
            <w:r w:rsidRPr="00452906">
              <w:br/>
            </w:r>
            <w:proofErr w:type="spellStart"/>
            <w:r w:rsidRPr="00452906">
              <w:t>No</w:t>
            </w:r>
            <w:proofErr w:type="spellEnd"/>
          </w:p>
        </w:tc>
      </w:tr>
      <w:tr w:rsidR="00452906" w:rsidRPr="00452906" w:rsidTr="00452906">
        <w:trPr>
          <w:cantSplit/>
          <w:trHeight w:val="350"/>
        </w:trPr>
        <w:tc>
          <w:tcPr>
            <w:tcW w:w="9247" w:type="dxa"/>
            <w:gridSpan w:val="9"/>
            <w:shd w:val="clear" w:color="auto" w:fill="auto"/>
            <w:tcMar>
              <w:top w:w="0" w:type="dxa"/>
              <w:left w:w="0" w:type="dxa"/>
              <w:bottom w:w="0" w:type="dxa"/>
              <w:right w:w="0" w:type="dxa"/>
            </w:tcMar>
            <w:vAlign w:val="center"/>
          </w:tcPr>
          <w:p w:rsidR="00452906" w:rsidRPr="00452906" w:rsidRDefault="00452906" w:rsidP="00452906">
            <w:pPr>
              <w:numPr>
                <w:ilvl w:val="0"/>
                <w:numId w:val="2"/>
              </w:numPr>
              <w:pBdr>
                <w:top w:val="single" w:sz="4" w:space="1" w:color="auto"/>
              </w:pBdr>
              <w:tabs>
                <w:tab w:val="clear" w:pos="342"/>
              </w:tabs>
              <w:autoSpaceDE w:val="0"/>
              <w:autoSpaceDN w:val="0"/>
              <w:adjustRightInd w:val="0"/>
              <w:ind w:left="345" w:hanging="259"/>
              <w:rPr>
                <w:sz w:val="18"/>
                <w:szCs w:val="18"/>
              </w:rPr>
            </w:pPr>
            <w:r w:rsidRPr="00452906">
              <w:rPr>
                <w:sz w:val="18"/>
                <w:szCs w:val="18"/>
              </w:rPr>
              <w:t>Assumes 100% of PM</w:t>
            </w:r>
            <w:r w:rsidRPr="00452906">
              <w:rPr>
                <w:sz w:val="18"/>
                <w:szCs w:val="18"/>
                <w:vertAlign w:val="subscript"/>
              </w:rPr>
              <w:t>10</w:t>
            </w:r>
            <w:r w:rsidRPr="00452906">
              <w:rPr>
                <w:sz w:val="18"/>
                <w:szCs w:val="18"/>
              </w:rPr>
              <w:t xml:space="preserve"> consists of PM</w:t>
            </w:r>
            <w:r w:rsidRPr="00452906">
              <w:rPr>
                <w:sz w:val="18"/>
                <w:szCs w:val="18"/>
                <w:vertAlign w:val="subscript"/>
              </w:rPr>
              <w:t>2.5</w:t>
            </w:r>
            <w:r w:rsidRPr="00452906">
              <w:rPr>
                <w:sz w:val="18"/>
                <w:szCs w:val="18"/>
              </w:rPr>
              <w:t>, i.e., the most conservative estimate.</w:t>
            </w:r>
          </w:p>
          <w:p w:rsidR="00452906" w:rsidRPr="00452906" w:rsidRDefault="00452906" w:rsidP="00452906">
            <w:pPr>
              <w:numPr>
                <w:ilvl w:val="0"/>
                <w:numId w:val="2"/>
              </w:numPr>
              <w:tabs>
                <w:tab w:val="clear" w:pos="342"/>
              </w:tabs>
              <w:autoSpaceDE w:val="0"/>
              <w:autoSpaceDN w:val="0"/>
              <w:adjustRightInd w:val="0"/>
              <w:ind w:left="345" w:hanging="259"/>
              <w:rPr>
                <w:rFonts w:ascii="Calibri" w:hAnsi="Calibri"/>
                <w:sz w:val="16"/>
                <w:szCs w:val="16"/>
              </w:rPr>
            </w:pPr>
            <w:r w:rsidRPr="00452906">
              <w:rPr>
                <w:sz w:val="18"/>
                <w:szCs w:val="18"/>
              </w:rPr>
              <w:t>Modeled at 100% load with two CT’s using ULSD</w:t>
            </w:r>
          </w:p>
        </w:tc>
      </w:tr>
    </w:tbl>
    <w:p w:rsidR="005F5675" w:rsidRDefault="006F540A" w:rsidP="00452906">
      <w:pPr>
        <w:spacing w:before="120" w:after="120"/>
        <w:rPr>
          <w:sz w:val="22"/>
          <w:szCs w:val="22"/>
        </w:rPr>
      </w:pPr>
      <w:r>
        <w:rPr>
          <w:sz w:val="22"/>
          <w:szCs w:val="22"/>
        </w:rPr>
        <w:t>In addition, t</w:t>
      </w:r>
      <w:r w:rsidR="00452906" w:rsidRPr="00452906">
        <w:rPr>
          <w:sz w:val="22"/>
          <w:szCs w:val="22"/>
        </w:rPr>
        <w:t xml:space="preserve">he modeling results </w:t>
      </w:r>
      <w:r>
        <w:rPr>
          <w:sz w:val="22"/>
          <w:szCs w:val="22"/>
        </w:rPr>
        <w:t>show</w:t>
      </w:r>
      <w:r w:rsidR="00452906" w:rsidRPr="00452906">
        <w:rPr>
          <w:sz w:val="22"/>
          <w:szCs w:val="22"/>
        </w:rPr>
        <w:t xml:space="preserve"> </w:t>
      </w:r>
      <w:r w:rsidR="00452906">
        <w:rPr>
          <w:sz w:val="22"/>
          <w:szCs w:val="22"/>
        </w:rPr>
        <w:t>that</w:t>
      </w:r>
      <w:r w:rsidR="00452906" w:rsidRPr="00452906">
        <w:rPr>
          <w:sz w:val="22"/>
          <w:szCs w:val="22"/>
        </w:rPr>
        <w:t xml:space="preserve"> the maximum modeled </w:t>
      </w:r>
      <w:r w:rsidR="00BE0656" w:rsidRPr="00452906">
        <w:rPr>
          <w:sz w:val="22"/>
          <w:szCs w:val="22"/>
        </w:rPr>
        <w:t xml:space="preserve">maximum concentrations </w:t>
      </w:r>
      <w:r w:rsidR="00452906" w:rsidRPr="00452906">
        <w:rPr>
          <w:sz w:val="22"/>
          <w:szCs w:val="22"/>
        </w:rPr>
        <w:t>based on load and fuel</w:t>
      </w:r>
      <w:r w:rsidR="00452906">
        <w:rPr>
          <w:sz w:val="22"/>
          <w:szCs w:val="22"/>
        </w:rPr>
        <w:t xml:space="preserve"> </w:t>
      </w:r>
      <w:r w:rsidR="00452906" w:rsidRPr="00452906">
        <w:rPr>
          <w:sz w:val="22"/>
          <w:szCs w:val="22"/>
        </w:rPr>
        <w:t xml:space="preserve">are predicted to be less than the </w:t>
      </w:r>
      <w:r>
        <w:rPr>
          <w:sz w:val="22"/>
          <w:szCs w:val="22"/>
        </w:rPr>
        <w:t xml:space="preserve">Class II </w:t>
      </w:r>
      <w:r w:rsidR="00452906" w:rsidRPr="00452906">
        <w:rPr>
          <w:sz w:val="22"/>
          <w:szCs w:val="22"/>
        </w:rPr>
        <w:t xml:space="preserve">SIL for all pollutants.  </w:t>
      </w:r>
      <w:r w:rsidR="002775EA" w:rsidRPr="002775EA">
        <w:rPr>
          <w:sz w:val="22"/>
          <w:szCs w:val="22"/>
        </w:rPr>
        <w:t xml:space="preserve">Consequently, </w:t>
      </w:r>
      <w:r w:rsidR="002775EA" w:rsidRPr="002775EA">
        <w:rPr>
          <w:bCs/>
          <w:sz w:val="22"/>
          <w:szCs w:val="22"/>
        </w:rPr>
        <w:t xml:space="preserve">comprehensive multi-source modeling was not necessary to show that concentrations of these pollutants did not exceed the </w:t>
      </w:r>
      <w:r w:rsidR="002775EA">
        <w:rPr>
          <w:bCs/>
          <w:sz w:val="22"/>
          <w:szCs w:val="22"/>
        </w:rPr>
        <w:t xml:space="preserve">NAAQS or </w:t>
      </w:r>
      <w:r w:rsidR="002775EA" w:rsidRPr="002775EA">
        <w:rPr>
          <w:bCs/>
          <w:sz w:val="22"/>
          <w:szCs w:val="22"/>
        </w:rPr>
        <w:t>PSD Class I</w:t>
      </w:r>
      <w:r w:rsidR="002775EA">
        <w:rPr>
          <w:bCs/>
          <w:sz w:val="22"/>
          <w:szCs w:val="22"/>
        </w:rPr>
        <w:t>I</w:t>
      </w:r>
      <w:r w:rsidR="002775EA" w:rsidRPr="002775EA">
        <w:rPr>
          <w:bCs/>
          <w:sz w:val="22"/>
          <w:szCs w:val="22"/>
        </w:rPr>
        <w:t xml:space="preserve"> increments</w:t>
      </w:r>
      <w:r w:rsidR="002775EA" w:rsidRPr="002775EA">
        <w:rPr>
          <w:sz w:val="22"/>
          <w:szCs w:val="22"/>
        </w:rPr>
        <w:t>.</w:t>
      </w:r>
    </w:p>
    <w:tbl>
      <w:tblPr>
        <w:tblW w:w="7128" w:type="dxa"/>
        <w:tblInd w:w="1080" w:type="dxa"/>
        <w:tblLayout w:type="fixed"/>
        <w:tblLook w:val="0000" w:firstRow="0" w:lastRow="0" w:firstColumn="0" w:lastColumn="0" w:noHBand="0" w:noVBand="0"/>
      </w:tblPr>
      <w:tblGrid>
        <w:gridCol w:w="1177"/>
        <w:gridCol w:w="1268"/>
        <w:gridCol w:w="1449"/>
        <w:gridCol w:w="1604"/>
        <w:gridCol w:w="1630"/>
      </w:tblGrid>
      <w:tr w:rsidR="00BE0656" w:rsidRPr="00BE0656" w:rsidTr="002775EA">
        <w:trPr>
          <w:cantSplit/>
          <w:trHeight w:val="20"/>
        </w:trPr>
        <w:tc>
          <w:tcPr>
            <w:tcW w:w="1177" w:type="dxa"/>
            <w:shd w:val="clear" w:color="auto" w:fill="auto"/>
            <w:vAlign w:val="center"/>
          </w:tcPr>
          <w:p w:rsidR="00BE0656" w:rsidRPr="00BE0656" w:rsidRDefault="00BE0656" w:rsidP="00BE0656">
            <w:pPr>
              <w:autoSpaceDE w:val="0"/>
              <w:autoSpaceDN w:val="0"/>
              <w:adjustRightInd w:val="0"/>
              <w:jc w:val="center"/>
              <w:rPr>
                <w:b/>
                <w:u w:val="single"/>
              </w:rPr>
            </w:pPr>
            <w:r w:rsidRPr="00BE0656">
              <w:rPr>
                <w:b/>
                <w:u w:val="single"/>
              </w:rPr>
              <w:t>Pollutant</w:t>
            </w:r>
          </w:p>
        </w:tc>
        <w:tc>
          <w:tcPr>
            <w:tcW w:w="1268" w:type="dxa"/>
            <w:shd w:val="clear" w:color="auto" w:fill="auto"/>
            <w:vAlign w:val="bottom"/>
          </w:tcPr>
          <w:p w:rsidR="00BE0656" w:rsidRPr="00BE0656" w:rsidRDefault="00BE0656" w:rsidP="00BE0656">
            <w:pPr>
              <w:autoSpaceDE w:val="0"/>
              <w:autoSpaceDN w:val="0"/>
              <w:adjustRightInd w:val="0"/>
              <w:jc w:val="center"/>
              <w:rPr>
                <w:b/>
              </w:rPr>
            </w:pPr>
            <w:r w:rsidRPr="00BE0656">
              <w:rPr>
                <w:b/>
              </w:rPr>
              <w:t xml:space="preserve">Averaging </w:t>
            </w:r>
            <w:r w:rsidRPr="00BE0656">
              <w:rPr>
                <w:b/>
                <w:u w:val="single"/>
              </w:rPr>
              <w:t>Time</w:t>
            </w:r>
          </w:p>
        </w:tc>
        <w:tc>
          <w:tcPr>
            <w:tcW w:w="1449" w:type="dxa"/>
            <w:shd w:val="clear" w:color="auto" w:fill="auto"/>
            <w:vAlign w:val="bottom"/>
          </w:tcPr>
          <w:p w:rsidR="00BE0656" w:rsidRPr="00BE0656" w:rsidRDefault="00BE0656" w:rsidP="00BE0656">
            <w:pPr>
              <w:autoSpaceDE w:val="0"/>
              <w:autoSpaceDN w:val="0"/>
              <w:adjustRightInd w:val="0"/>
              <w:jc w:val="center"/>
              <w:rPr>
                <w:b/>
              </w:rPr>
            </w:pPr>
            <w:r w:rsidRPr="00BE0656">
              <w:rPr>
                <w:b/>
              </w:rPr>
              <w:t xml:space="preserve">Max Impact </w:t>
            </w:r>
            <w:r w:rsidRPr="00BE0656">
              <w:rPr>
                <w:b/>
                <w:vertAlign w:val="superscript"/>
              </w:rPr>
              <w:t xml:space="preserve">b </w:t>
            </w:r>
            <w:r w:rsidRPr="00BE0656">
              <w:rPr>
                <w:b/>
                <w:u w:val="single"/>
              </w:rPr>
              <w:t>(μg/m</w:t>
            </w:r>
            <w:r w:rsidRPr="00BE0656">
              <w:rPr>
                <w:b/>
                <w:u w:val="single"/>
                <w:vertAlign w:val="superscript"/>
              </w:rPr>
              <w:t>3</w:t>
            </w:r>
            <w:r w:rsidRPr="00BE0656">
              <w:rPr>
                <w:b/>
                <w:u w:val="single"/>
              </w:rPr>
              <w:t>)</w:t>
            </w:r>
          </w:p>
        </w:tc>
        <w:tc>
          <w:tcPr>
            <w:tcW w:w="1604" w:type="dxa"/>
            <w:shd w:val="clear" w:color="auto" w:fill="auto"/>
            <w:vAlign w:val="center"/>
          </w:tcPr>
          <w:p w:rsidR="00BE0656" w:rsidRPr="00BE0656" w:rsidRDefault="00BE0656" w:rsidP="00BE0656">
            <w:pPr>
              <w:autoSpaceDE w:val="0"/>
              <w:autoSpaceDN w:val="0"/>
              <w:adjustRightInd w:val="0"/>
              <w:jc w:val="center"/>
              <w:rPr>
                <w:b/>
                <w:u w:val="single"/>
              </w:rPr>
            </w:pPr>
            <w:r w:rsidRPr="00BE0656">
              <w:rPr>
                <w:b/>
                <w:u w:val="single"/>
              </w:rPr>
              <w:t>SIL (μg/m</w:t>
            </w:r>
            <w:r w:rsidRPr="00BE0656">
              <w:rPr>
                <w:b/>
                <w:u w:val="single"/>
                <w:vertAlign w:val="superscript"/>
              </w:rPr>
              <w:t>3</w:t>
            </w:r>
            <w:r w:rsidRPr="00BE0656">
              <w:rPr>
                <w:b/>
                <w:u w:val="single"/>
              </w:rPr>
              <w:t>)</w:t>
            </w:r>
          </w:p>
        </w:tc>
        <w:tc>
          <w:tcPr>
            <w:tcW w:w="1630" w:type="dxa"/>
            <w:shd w:val="clear" w:color="auto" w:fill="auto"/>
            <w:vAlign w:val="bottom"/>
          </w:tcPr>
          <w:p w:rsidR="00BE0656" w:rsidRPr="00BE0656" w:rsidRDefault="00BE0656" w:rsidP="00BE0656">
            <w:pPr>
              <w:autoSpaceDE w:val="0"/>
              <w:autoSpaceDN w:val="0"/>
              <w:adjustRightInd w:val="0"/>
              <w:jc w:val="center"/>
              <w:rPr>
                <w:b/>
              </w:rPr>
            </w:pPr>
            <w:r w:rsidRPr="00BE0656">
              <w:rPr>
                <w:b/>
              </w:rPr>
              <w:t>Significant</w:t>
            </w:r>
            <w:r w:rsidRPr="00BE0656">
              <w:rPr>
                <w:b/>
              </w:rPr>
              <w:br/>
            </w:r>
            <w:r w:rsidRPr="00BE0656">
              <w:rPr>
                <w:b/>
                <w:u w:val="single"/>
              </w:rPr>
              <w:t>Impact?</w:t>
            </w:r>
          </w:p>
        </w:tc>
      </w:tr>
      <w:tr w:rsidR="00BE0656" w:rsidRPr="00BE0656" w:rsidTr="002775EA">
        <w:trPr>
          <w:cantSplit/>
          <w:trHeight w:val="20"/>
        </w:trPr>
        <w:tc>
          <w:tcPr>
            <w:tcW w:w="1177" w:type="dxa"/>
            <w:shd w:val="clear" w:color="auto" w:fill="auto"/>
            <w:vAlign w:val="center"/>
          </w:tcPr>
          <w:p w:rsidR="00BE0656" w:rsidRPr="00BE0656" w:rsidRDefault="00BE0656" w:rsidP="00BE0656">
            <w:pPr>
              <w:autoSpaceDE w:val="0"/>
              <w:autoSpaceDN w:val="0"/>
              <w:adjustRightInd w:val="0"/>
              <w:spacing w:before="20" w:after="20"/>
              <w:jc w:val="center"/>
            </w:pPr>
            <w:r w:rsidRPr="00BE0656">
              <w:t>PM</w:t>
            </w:r>
            <w:r w:rsidRPr="00BE0656">
              <w:rPr>
                <w:vertAlign w:val="subscript"/>
              </w:rPr>
              <w:t>2.5</w:t>
            </w:r>
          </w:p>
        </w:tc>
        <w:tc>
          <w:tcPr>
            <w:tcW w:w="1268" w:type="dxa"/>
            <w:shd w:val="clear" w:color="auto" w:fill="auto"/>
            <w:vAlign w:val="center"/>
          </w:tcPr>
          <w:p w:rsidR="00BE0656" w:rsidRPr="00BE0656" w:rsidRDefault="00BE0656" w:rsidP="00BE0656">
            <w:pPr>
              <w:autoSpaceDE w:val="0"/>
              <w:autoSpaceDN w:val="0"/>
              <w:adjustRightInd w:val="0"/>
              <w:spacing w:before="20" w:after="20"/>
              <w:jc w:val="center"/>
            </w:pPr>
            <w:r w:rsidRPr="00BE0656">
              <w:t xml:space="preserve">24-Hour </w:t>
            </w:r>
          </w:p>
        </w:tc>
        <w:tc>
          <w:tcPr>
            <w:tcW w:w="1449" w:type="dxa"/>
            <w:shd w:val="clear" w:color="auto" w:fill="auto"/>
            <w:vAlign w:val="center"/>
          </w:tcPr>
          <w:p w:rsidR="00BE0656" w:rsidRPr="00BE0656" w:rsidRDefault="00BE0656" w:rsidP="00BE0656">
            <w:pPr>
              <w:autoSpaceDE w:val="0"/>
              <w:autoSpaceDN w:val="0"/>
              <w:adjustRightInd w:val="0"/>
              <w:spacing w:before="20" w:after="20"/>
              <w:jc w:val="center"/>
            </w:pPr>
            <w:r w:rsidRPr="00BE0656">
              <w:t>0.99679</w:t>
            </w:r>
          </w:p>
        </w:tc>
        <w:tc>
          <w:tcPr>
            <w:tcW w:w="1604" w:type="dxa"/>
            <w:shd w:val="clear" w:color="auto" w:fill="auto"/>
            <w:vAlign w:val="center"/>
          </w:tcPr>
          <w:p w:rsidR="00BE0656" w:rsidRPr="00BE0656" w:rsidRDefault="00BE0656" w:rsidP="00BE0656">
            <w:pPr>
              <w:autoSpaceDE w:val="0"/>
              <w:autoSpaceDN w:val="0"/>
              <w:adjustRightInd w:val="0"/>
              <w:spacing w:before="20" w:after="20"/>
              <w:jc w:val="center"/>
            </w:pPr>
            <w:r w:rsidRPr="00BE0656">
              <w:t>1.2</w:t>
            </w:r>
          </w:p>
        </w:tc>
        <w:tc>
          <w:tcPr>
            <w:tcW w:w="1630" w:type="dxa"/>
            <w:shd w:val="clear" w:color="auto" w:fill="auto"/>
            <w:vAlign w:val="center"/>
          </w:tcPr>
          <w:p w:rsidR="00BE0656" w:rsidRPr="00BE0656" w:rsidRDefault="00BE0656" w:rsidP="00BE0656">
            <w:pPr>
              <w:autoSpaceDE w:val="0"/>
              <w:autoSpaceDN w:val="0"/>
              <w:adjustRightInd w:val="0"/>
              <w:spacing w:before="20" w:after="20"/>
              <w:jc w:val="center"/>
            </w:pPr>
            <w:r w:rsidRPr="00BE0656">
              <w:t>No</w:t>
            </w:r>
          </w:p>
        </w:tc>
      </w:tr>
      <w:tr w:rsidR="00BE0656" w:rsidRPr="00BE0656" w:rsidTr="002775EA">
        <w:trPr>
          <w:cantSplit/>
          <w:trHeight w:val="20"/>
        </w:trPr>
        <w:tc>
          <w:tcPr>
            <w:tcW w:w="1177" w:type="dxa"/>
            <w:shd w:val="clear" w:color="auto" w:fill="auto"/>
            <w:vAlign w:val="center"/>
          </w:tcPr>
          <w:p w:rsidR="00BE0656" w:rsidRPr="00BE0656" w:rsidRDefault="00BE0656" w:rsidP="00BE0656">
            <w:pPr>
              <w:autoSpaceDE w:val="0"/>
              <w:autoSpaceDN w:val="0"/>
              <w:adjustRightInd w:val="0"/>
              <w:spacing w:before="20" w:after="20"/>
              <w:jc w:val="center"/>
            </w:pPr>
            <w:r w:rsidRPr="00BE0656">
              <w:t>PM</w:t>
            </w:r>
            <w:r w:rsidRPr="00BE0656">
              <w:rPr>
                <w:vertAlign w:val="subscript"/>
              </w:rPr>
              <w:t>2.5</w:t>
            </w:r>
          </w:p>
        </w:tc>
        <w:tc>
          <w:tcPr>
            <w:tcW w:w="1268" w:type="dxa"/>
            <w:shd w:val="clear" w:color="auto" w:fill="auto"/>
            <w:vAlign w:val="center"/>
          </w:tcPr>
          <w:p w:rsidR="00BE0656" w:rsidRPr="00BE0656" w:rsidRDefault="00BE0656" w:rsidP="00BE0656">
            <w:pPr>
              <w:autoSpaceDE w:val="0"/>
              <w:autoSpaceDN w:val="0"/>
              <w:adjustRightInd w:val="0"/>
              <w:spacing w:before="20" w:after="20"/>
              <w:jc w:val="center"/>
            </w:pPr>
            <w:r w:rsidRPr="00BE0656">
              <w:t>Annual</w:t>
            </w:r>
          </w:p>
        </w:tc>
        <w:tc>
          <w:tcPr>
            <w:tcW w:w="1449" w:type="dxa"/>
            <w:shd w:val="clear" w:color="auto" w:fill="auto"/>
            <w:vAlign w:val="center"/>
          </w:tcPr>
          <w:p w:rsidR="00BE0656" w:rsidRPr="00BE0656" w:rsidRDefault="00BE0656" w:rsidP="00BE0656">
            <w:pPr>
              <w:autoSpaceDE w:val="0"/>
              <w:autoSpaceDN w:val="0"/>
              <w:adjustRightInd w:val="0"/>
              <w:spacing w:before="20" w:after="20"/>
              <w:jc w:val="center"/>
            </w:pPr>
            <w:r w:rsidRPr="00BE0656">
              <w:t>0.14653</w:t>
            </w:r>
          </w:p>
        </w:tc>
        <w:tc>
          <w:tcPr>
            <w:tcW w:w="1604" w:type="dxa"/>
            <w:shd w:val="clear" w:color="auto" w:fill="auto"/>
            <w:vAlign w:val="center"/>
          </w:tcPr>
          <w:p w:rsidR="00BE0656" w:rsidRPr="00BE0656" w:rsidRDefault="00BE0656" w:rsidP="00BE0656">
            <w:pPr>
              <w:autoSpaceDE w:val="0"/>
              <w:autoSpaceDN w:val="0"/>
              <w:adjustRightInd w:val="0"/>
              <w:spacing w:before="20" w:after="20"/>
              <w:jc w:val="center"/>
            </w:pPr>
            <w:r w:rsidRPr="00BE0656">
              <w:t>0.3</w:t>
            </w:r>
          </w:p>
        </w:tc>
        <w:tc>
          <w:tcPr>
            <w:tcW w:w="1630" w:type="dxa"/>
            <w:shd w:val="clear" w:color="auto" w:fill="auto"/>
            <w:vAlign w:val="center"/>
          </w:tcPr>
          <w:p w:rsidR="00BE0656" w:rsidRPr="00BE0656" w:rsidRDefault="00BE0656" w:rsidP="00BE0656">
            <w:pPr>
              <w:autoSpaceDE w:val="0"/>
              <w:autoSpaceDN w:val="0"/>
              <w:adjustRightInd w:val="0"/>
              <w:spacing w:before="20" w:after="20"/>
              <w:jc w:val="center"/>
            </w:pPr>
            <w:r w:rsidRPr="00BE0656">
              <w:t>No</w:t>
            </w:r>
          </w:p>
        </w:tc>
      </w:tr>
      <w:tr w:rsidR="00BE0656" w:rsidRPr="00BE0656" w:rsidTr="002775EA">
        <w:trPr>
          <w:cantSplit/>
          <w:trHeight w:val="20"/>
        </w:trPr>
        <w:tc>
          <w:tcPr>
            <w:tcW w:w="1177" w:type="dxa"/>
            <w:shd w:val="clear" w:color="auto" w:fill="auto"/>
            <w:vAlign w:val="center"/>
          </w:tcPr>
          <w:p w:rsidR="00BE0656" w:rsidRPr="00BE0656" w:rsidRDefault="00BE0656" w:rsidP="00BE0656">
            <w:pPr>
              <w:autoSpaceDE w:val="0"/>
              <w:autoSpaceDN w:val="0"/>
              <w:adjustRightInd w:val="0"/>
              <w:spacing w:before="20" w:after="20"/>
              <w:jc w:val="center"/>
            </w:pPr>
            <w:r w:rsidRPr="00BE0656">
              <w:t>PM</w:t>
            </w:r>
            <w:r w:rsidRPr="00BE0656">
              <w:rPr>
                <w:vertAlign w:val="subscript"/>
              </w:rPr>
              <w:t>10</w:t>
            </w:r>
          </w:p>
        </w:tc>
        <w:tc>
          <w:tcPr>
            <w:tcW w:w="1268" w:type="dxa"/>
            <w:shd w:val="clear" w:color="auto" w:fill="auto"/>
            <w:vAlign w:val="center"/>
          </w:tcPr>
          <w:p w:rsidR="00BE0656" w:rsidRPr="00BE0656" w:rsidRDefault="00BE0656" w:rsidP="00BE0656">
            <w:pPr>
              <w:autoSpaceDE w:val="0"/>
              <w:autoSpaceDN w:val="0"/>
              <w:adjustRightInd w:val="0"/>
              <w:spacing w:before="20" w:after="20"/>
              <w:jc w:val="center"/>
            </w:pPr>
            <w:r w:rsidRPr="00BE0656">
              <w:t>24-Hour</w:t>
            </w:r>
          </w:p>
        </w:tc>
        <w:tc>
          <w:tcPr>
            <w:tcW w:w="1449" w:type="dxa"/>
            <w:shd w:val="clear" w:color="auto" w:fill="auto"/>
            <w:vAlign w:val="center"/>
          </w:tcPr>
          <w:p w:rsidR="00BE0656" w:rsidRPr="00BE0656" w:rsidRDefault="00BE0656" w:rsidP="00BE0656">
            <w:pPr>
              <w:autoSpaceDE w:val="0"/>
              <w:autoSpaceDN w:val="0"/>
              <w:adjustRightInd w:val="0"/>
              <w:spacing w:before="20" w:after="20"/>
              <w:jc w:val="center"/>
            </w:pPr>
            <w:r w:rsidRPr="00BE0656">
              <w:t>1.21757</w:t>
            </w:r>
          </w:p>
        </w:tc>
        <w:tc>
          <w:tcPr>
            <w:tcW w:w="1604" w:type="dxa"/>
            <w:shd w:val="clear" w:color="auto" w:fill="auto"/>
            <w:vAlign w:val="center"/>
          </w:tcPr>
          <w:p w:rsidR="00BE0656" w:rsidRPr="00BE0656" w:rsidRDefault="00BE0656" w:rsidP="00BE0656">
            <w:pPr>
              <w:autoSpaceDE w:val="0"/>
              <w:autoSpaceDN w:val="0"/>
              <w:adjustRightInd w:val="0"/>
              <w:spacing w:before="20" w:after="20"/>
              <w:jc w:val="center"/>
              <w:rPr>
                <w:vertAlign w:val="superscript"/>
              </w:rPr>
            </w:pPr>
            <w:r w:rsidRPr="00BE0656">
              <w:t>5</w:t>
            </w:r>
          </w:p>
        </w:tc>
        <w:tc>
          <w:tcPr>
            <w:tcW w:w="1630" w:type="dxa"/>
            <w:shd w:val="clear" w:color="auto" w:fill="auto"/>
            <w:vAlign w:val="center"/>
          </w:tcPr>
          <w:p w:rsidR="00BE0656" w:rsidRPr="00BE0656" w:rsidRDefault="00BE0656" w:rsidP="00BE0656">
            <w:pPr>
              <w:autoSpaceDE w:val="0"/>
              <w:autoSpaceDN w:val="0"/>
              <w:adjustRightInd w:val="0"/>
              <w:spacing w:before="20" w:after="20"/>
              <w:jc w:val="center"/>
              <w:rPr>
                <w:b/>
              </w:rPr>
            </w:pPr>
            <w:r w:rsidRPr="00BE0656">
              <w:t>No</w:t>
            </w:r>
          </w:p>
        </w:tc>
      </w:tr>
      <w:tr w:rsidR="00BE0656" w:rsidRPr="00BE0656" w:rsidTr="002775EA">
        <w:trPr>
          <w:cantSplit/>
          <w:trHeight w:val="20"/>
        </w:trPr>
        <w:tc>
          <w:tcPr>
            <w:tcW w:w="1177" w:type="dxa"/>
            <w:shd w:val="clear" w:color="auto" w:fill="auto"/>
            <w:vAlign w:val="center"/>
          </w:tcPr>
          <w:p w:rsidR="00BE0656" w:rsidRPr="00BE0656" w:rsidRDefault="00BE0656" w:rsidP="00BE0656">
            <w:pPr>
              <w:autoSpaceDE w:val="0"/>
              <w:autoSpaceDN w:val="0"/>
              <w:adjustRightInd w:val="0"/>
              <w:spacing w:before="20" w:after="20"/>
              <w:jc w:val="center"/>
            </w:pPr>
            <w:r w:rsidRPr="00BE0656">
              <w:t>PM</w:t>
            </w:r>
            <w:r w:rsidRPr="00BE0656">
              <w:rPr>
                <w:vertAlign w:val="subscript"/>
              </w:rPr>
              <w:t>10</w:t>
            </w:r>
          </w:p>
        </w:tc>
        <w:tc>
          <w:tcPr>
            <w:tcW w:w="1268" w:type="dxa"/>
            <w:shd w:val="clear" w:color="auto" w:fill="auto"/>
            <w:vAlign w:val="center"/>
          </w:tcPr>
          <w:p w:rsidR="00BE0656" w:rsidRPr="00BE0656" w:rsidRDefault="00BE0656" w:rsidP="00BE0656">
            <w:pPr>
              <w:autoSpaceDE w:val="0"/>
              <w:autoSpaceDN w:val="0"/>
              <w:adjustRightInd w:val="0"/>
              <w:spacing w:before="20" w:after="20"/>
              <w:jc w:val="center"/>
            </w:pPr>
            <w:r w:rsidRPr="00BE0656">
              <w:t>Annual</w:t>
            </w:r>
          </w:p>
        </w:tc>
        <w:tc>
          <w:tcPr>
            <w:tcW w:w="1449" w:type="dxa"/>
            <w:shd w:val="clear" w:color="auto" w:fill="auto"/>
            <w:vAlign w:val="center"/>
          </w:tcPr>
          <w:p w:rsidR="00BE0656" w:rsidRPr="00BE0656" w:rsidRDefault="00BE0656" w:rsidP="00BE0656">
            <w:pPr>
              <w:autoSpaceDE w:val="0"/>
              <w:autoSpaceDN w:val="0"/>
              <w:adjustRightInd w:val="0"/>
              <w:spacing w:before="20" w:after="20"/>
              <w:jc w:val="center"/>
            </w:pPr>
            <w:r w:rsidRPr="00BE0656">
              <w:t>0.18073</w:t>
            </w:r>
          </w:p>
        </w:tc>
        <w:tc>
          <w:tcPr>
            <w:tcW w:w="1604" w:type="dxa"/>
            <w:shd w:val="clear" w:color="auto" w:fill="auto"/>
            <w:vAlign w:val="center"/>
          </w:tcPr>
          <w:p w:rsidR="00BE0656" w:rsidRPr="00BE0656" w:rsidRDefault="00BE0656" w:rsidP="00BE0656">
            <w:pPr>
              <w:autoSpaceDE w:val="0"/>
              <w:autoSpaceDN w:val="0"/>
              <w:adjustRightInd w:val="0"/>
              <w:spacing w:before="20" w:after="20"/>
              <w:jc w:val="center"/>
            </w:pPr>
            <w:r w:rsidRPr="00BE0656">
              <w:t>1</w:t>
            </w:r>
          </w:p>
        </w:tc>
        <w:tc>
          <w:tcPr>
            <w:tcW w:w="1630" w:type="dxa"/>
            <w:shd w:val="clear" w:color="auto" w:fill="auto"/>
            <w:vAlign w:val="center"/>
          </w:tcPr>
          <w:p w:rsidR="00BE0656" w:rsidRPr="00BE0656" w:rsidRDefault="00BE0656" w:rsidP="00BE0656">
            <w:pPr>
              <w:autoSpaceDE w:val="0"/>
              <w:autoSpaceDN w:val="0"/>
              <w:adjustRightInd w:val="0"/>
              <w:spacing w:before="20" w:after="20"/>
              <w:jc w:val="center"/>
            </w:pPr>
            <w:r w:rsidRPr="00BE0656">
              <w:t>No</w:t>
            </w:r>
          </w:p>
        </w:tc>
      </w:tr>
    </w:tbl>
    <w:p w:rsidR="008B6B72" w:rsidRPr="004E246C" w:rsidRDefault="008B6B72" w:rsidP="008B6B72">
      <w:pPr>
        <w:spacing w:before="240" w:after="120"/>
        <w:rPr>
          <w:sz w:val="22"/>
          <w:szCs w:val="22"/>
        </w:rPr>
      </w:pPr>
      <w:r w:rsidRPr="004E246C">
        <w:rPr>
          <w:sz w:val="22"/>
          <w:szCs w:val="22"/>
        </w:rPr>
        <w:t>Based on the analys</w:t>
      </w:r>
      <w:r w:rsidR="000517FA" w:rsidRPr="004E246C">
        <w:rPr>
          <w:sz w:val="22"/>
          <w:szCs w:val="22"/>
        </w:rPr>
        <w:t>e</w:t>
      </w:r>
      <w:r w:rsidRPr="004E246C">
        <w:rPr>
          <w:sz w:val="22"/>
          <w:szCs w:val="22"/>
        </w:rPr>
        <w:t>s, emissions from the project will not cause, or significantly contribute to, a violation of any ambient air quality standards or applicable increments.</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 Stone Road</w:t>
      </w:r>
      <w:r w:rsidR="00AD59F5" w:rsidRPr="00245C25">
        <w:rPr>
          <w:sz w:val="22"/>
          <w:szCs w:val="22"/>
        </w:rPr>
        <w:t xml:space="preserve">, Tallahassee, Florida.  The Permitting Authority’s mailing address is:  </w:t>
      </w:r>
      <w:smartTag w:uri="urn:schemas-microsoft-com:office:smarttags" w:element="City">
        <w:r w:rsidR="00AD59F5" w:rsidRPr="00245C25">
          <w:rPr>
            <w:sz w:val="22"/>
            <w:szCs w:val="22"/>
          </w:rPr>
          <w:t>2600</w:t>
        </w:r>
      </w:smartTag>
      <w:r w:rsidR="00AD59F5" w:rsidRPr="00245C25">
        <w:rPr>
          <w:sz w:val="22"/>
          <w:szCs w:val="22"/>
        </w:rPr>
        <w:t xml:space="preserve"> Blair Stone Road, </w:t>
      </w:r>
      <w:smartTag w:uri="urn:schemas-microsoft-com:office:smarttags" w:element="State">
        <w:r w:rsidR="00AD59F5" w:rsidRPr="00245C25">
          <w:rPr>
            <w:sz w:val="22"/>
            <w:szCs w:val="22"/>
          </w:rPr>
          <w:t>MS</w:t>
        </w:r>
      </w:smartTag>
      <w:r w:rsidR="00AD59F5" w:rsidRPr="00245C25">
        <w:rPr>
          <w:sz w:val="22"/>
          <w:szCs w:val="22"/>
        </w:rPr>
        <w:t xml:space="preserve"> #5505, </w:t>
      </w:r>
      <w:smartTag w:uri="urn:schemas-microsoft-com:office:smarttags" w:element="place">
        <w:smartTag w:uri="urn:schemas-microsoft-com:office:smarttags" w:element="City">
          <w:r w:rsidR="00AD59F5" w:rsidRPr="00245C25">
            <w:rPr>
              <w:sz w:val="22"/>
              <w:szCs w:val="22"/>
            </w:rPr>
            <w:t>Tallahassee</w:t>
          </w:r>
        </w:smartTag>
        <w:r w:rsidR="00AD59F5" w:rsidRPr="00245C25">
          <w:rPr>
            <w:sz w:val="22"/>
            <w:szCs w:val="22"/>
          </w:rPr>
          <w:t xml:space="preserve">, </w:t>
        </w:r>
        <w:smartTag w:uri="urn:schemas-microsoft-com:office:smarttags" w:element="State">
          <w:r w:rsidR="00AD59F5" w:rsidRPr="00245C25">
            <w:rPr>
              <w:sz w:val="22"/>
              <w:szCs w:val="22"/>
            </w:rPr>
            <w:t>Florida</w:t>
          </w:r>
        </w:smartTag>
        <w:r w:rsidR="00AD59F5" w:rsidRPr="00245C25">
          <w:rPr>
            <w:sz w:val="22"/>
            <w:szCs w:val="22"/>
          </w:rPr>
          <w:t xml:space="preserve"> </w:t>
        </w:r>
        <w:smartTag w:uri="urn:schemas-microsoft-com:office:smarttags" w:element="PostalCode">
          <w:r w:rsidR="00AD59F5" w:rsidRPr="00245C25">
            <w:rPr>
              <w:sz w:val="22"/>
              <w:szCs w:val="22"/>
            </w:rPr>
            <w:t>32399-2400</w:t>
          </w:r>
        </w:smartTag>
      </w:smartTag>
      <w:r w:rsidR="00AD59F5" w:rsidRPr="00245C25">
        <w:rPr>
          <w:sz w:val="22"/>
          <w:szCs w:val="22"/>
        </w:rPr>
        <w:t xml:space="preserve">.  The Permitting Authority’s telephone number is </w:t>
      </w:r>
      <w:r w:rsidR="00AD59F5">
        <w:rPr>
          <w:sz w:val="22"/>
          <w:szCs w:val="22"/>
        </w:rPr>
        <w:t>850/717-9000</w:t>
      </w:r>
      <w:r w:rsidRPr="009A5EC0">
        <w:rPr>
          <w:sz w:val="22"/>
          <w:szCs w:val="22"/>
        </w:rPr>
        <w:t>.</w:t>
      </w:r>
    </w:p>
    <w:p w:rsidR="00B52667" w:rsidRDefault="00B52667" w:rsidP="00B52667">
      <w:pPr>
        <w:spacing w:after="120"/>
        <w:outlineLvl w:val="0"/>
        <w:rPr>
          <w:sz w:val="22"/>
          <w:szCs w:val="22"/>
        </w:rPr>
      </w:pPr>
      <w:r w:rsidRPr="009A5EC0">
        <w:rPr>
          <w:b/>
          <w:sz w:val="22"/>
          <w:szCs w:val="22"/>
        </w:rPr>
        <w:t>Project File</w:t>
      </w:r>
      <w:r w:rsidRPr="009A5EC0">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7" w:history="1">
        <w:r w:rsidR="00E23495" w:rsidRPr="001407B1">
          <w:rPr>
            <w:rStyle w:val="Hyperlink"/>
            <w:sz w:val="22"/>
            <w:szCs w:val="22"/>
          </w:rPr>
          <w:t>http://www.dep.state.fl.us/air/emission/apds/default.asp</w:t>
        </w:r>
      </w:hyperlink>
      <w:r w:rsidR="00BE1615">
        <w:rPr>
          <w:sz w:val="22"/>
          <w:szCs w:val="22"/>
        </w:rPr>
        <w:t>.</w:t>
      </w:r>
    </w:p>
    <w:p w:rsidR="00B52667" w:rsidRPr="009A5EC0" w:rsidRDefault="00B52667" w:rsidP="00B52667">
      <w:pPr>
        <w:spacing w:after="120"/>
        <w:rPr>
          <w:sz w:val="22"/>
          <w:szCs w:val="22"/>
        </w:rPr>
      </w:pPr>
      <w:r w:rsidRPr="009A5EC0">
        <w:rPr>
          <w:b/>
          <w:sz w:val="22"/>
          <w:szCs w:val="22"/>
        </w:rPr>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lastRenderedPageBreak/>
        <w:t>Comments</w:t>
      </w:r>
      <w:r w:rsidRPr="00695DBB">
        <w:rPr>
          <w:sz w:val="22"/>
          <w:szCs w:val="22"/>
        </w:rPr>
        <w:t xml:space="preserve">:  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E87DFF" w:rsidRPr="00245C25" w:rsidRDefault="00B52667" w:rsidP="00E87DFF">
      <w:pPr>
        <w:widowControl w:val="0"/>
        <w:spacing w:after="120"/>
        <w:rPr>
          <w:sz w:val="22"/>
          <w:szCs w:val="22"/>
        </w:rPr>
      </w:pPr>
      <w:r w:rsidRPr="009A5EC0">
        <w:rPr>
          <w:b/>
          <w:sz w:val="22"/>
          <w:szCs w:val="22"/>
        </w:rPr>
        <w:t>Petitions</w:t>
      </w:r>
      <w:r w:rsidRPr="009A5EC0">
        <w:rPr>
          <w:sz w:val="22"/>
          <w:szCs w:val="22"/>
        </w:rPr>
        <w:t xml:space="preserve">:  </w:t>
      </w:r>
      <w:r w:rsidR="00E87DFF"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E87DFF" w:rsidRPr="005D3FB5">
        <w:rPr>
          <w:sz w:val="22"/>
          <w:szCs w:val="22"/>
        </w:rPr>
        <w:t>written notice of</w:t>
      </w:r>
      <w:r w:rsidR="00E87DFF" w:rsidRPr="00245C25">
        <w:rPr>
          <w:sz w:val="22"/>
          <w:szCs w:val="22"/>
        </w:rPr>
        <w:t xml:space="preserve"> Intent to Issue Air Permit.  Petitions filed by any persons other than those entitled to written notice under Section 120.60(3), F.S., must be filed within 14 days of publication of the attached Public Notice or within 14 days of receipt of this </w:t>
      </w:r>
      <w:r w:rsidR="00E87DFF" w:rsidRPr="005D3FB5">
        <w:rPr>
          <w:sz w:val="22"/>
          <w:szCs w:val="22"/>
        </w:rPr>
        <w:t xml:space="preserve">written notice </w:t>
      </w:r>
      <w:r w:rsidR="00E87DFF"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E87DFF" w:rsidRPr="005D3FB5">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E87DFF" w:rsidRPr="005D3FB5">
          <w:rPr>
            <w:rStyle w:val="Hyperlink"/>
            <w:sz w:val="22"/>
            <w:szCs w:val="22"/>
          </w:rPr>
          <w:t>Agency.Clerk@dep.state.fl.us</w:t>
        </w:r>
      </w:hyperlink>
      <w:r w:rsidR="00E87DFF" w:rsidRPr="005D3FB5">
        <w:rPr>
          <w:sz w:val="22"/>
          <w:szCs w:val="22"/>
        </w:rPr>
        <w:t>, before the deadline.  The failure of any person to file a pe</w:t>
      </w:r>
      <w:r w:rsidR="00E87DFF" w:rsidRPr="00245C25">
        <w:rPr>
          <w:sz w:val="22"/>
          <w:szCs w:val="22"/>
        </w:rPr>
        <w:t>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87DFF" w:rsidRPr="00245C25" w:rsidRDefault="00E87DFF" w:rsidP="00E87DFF">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87DFF" w:rsidRPr="00245C25" w:rsidRDefault="00E87DFF" w:rsidP="00E87DFF">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9"/>
      <w:footerReference w:type="default" r:id="rId10"/>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917" w:rsidRDefault="00731917">
      <w:r>
        <w:separator/>
      </w:r>
    </w:p>
  </w:endnote>
  <w:endnote w:type="continuationSeparator" w:id="0">
    <w:p w:rsidR="00731917" w:rsidRDefault="0073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E257C9" w:rsidRDefault="00731917"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917" w:rsidRDefault="00731917">
      <w:r>
        <w:separator/>
      </w:r>
    </w:p>
  </w:footnote>
  <w:footnote w:type="continuationSeparator" w:id="0">
    <w:p w:rsidR="00731917" w:rsidRDefault="00731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7037DE" w:rsidRDefault="00731917" w:rsidP="0023647D">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94EE875"/>
    <w:lvl w:ilvl="0">
      <w:start w:val="1"/>
      <w:numFmt w:val="lowerLetter"/>
      <w:lvlText w:val="%1."/>
      <w:lvlJc w:val="left"/>
      <w:pPr>
        <w:tabs>
          <w:tab w:val="num" w:pos="342"/>
        </w:tabs>
        <w:ind w:left="342" w:firstLine="0"/>
      </w:pPr>
      <w:rPr>
        <w:rFonts w:hint="default"/>
        <w:color w:val="000000"/>
        <w:position w:val="0"/>
        <w:sz w:val="20"/>
      </w:rPr>
    </w:lvl>
    <w:lvl w:ilvl="1">
      <w:start w:val="1"/>
      <w:numFmt w:val="lowerLetter"/>
      <w:lvlText w:val="%2."/>
      <w:lvlJc w:val="left"/>
      <w:pPr>
        <w:tabs>
          <w:tab w:val="num" w:pos="360"/>
        </w:tabs>
        <w:ind w:left="360" w:firstLine="1080"/>
      </w:pPr>
      <w:rPr>
        <w:rFonts w:hint="default"/>
        <w:color w:val="000000"/>
        <w:position w:val="0"/>
        <w:sz w:val="20"/>
      </w:rPr>
    </w:lvl>
    <w:lvl w:ilvl="2">
      <w:start w:val="1"/>
      <w:numFmt w:val="lowerRoman"/>
      <w:lvlText w:val="%3."/>
      <w:lvlJc w:val="left"/>
      <w:pPr>
        <w:tabs>
          <w:tab w:val="num" w:pos="370"/>
        </w:tabs>
        <w:ind w:left="370" w:firstLine="1790"/>
      </w:pPr>
      <w:rPr>
        <w:rFonts w:hint="default"/>
        <w:color w:val="000000"/>
        <w:position w:val="0"/>
        <w:sz w:val="20"/>
      </w:rPr>
    </w:lvl>
    <w:lvl w:ilvl="3">
      <w:start w:val="1"/>
      <w:numFmt w:val="decimal"/>
      <w:isLgl/>
      <w:lvlText w:val="%4."/>
      <w:lvlJc w:val="left"/>
      <w:pPr>
        <w:tabs>
          <w:tab w:val="num" w:pos="360"/>
        </w:tabs>
        <w:ind w:left="360" w:firstLine="2520"/>
      </w:pPr>
      <w:rPr>
        <w:rFonts w:hint="default"/>
        <w:color w:val="000000"/>
        <w:position w:val="0"/>
        <w:sz w:val="20"/>
      </w:rPr>
    </w:lvl>
    <w:lvl w:ilvl="4">
      <w:start w:val="1"/>
      <w:numFmt w:val="lowerLetter"/>
      <w:lvlText w:val="%5."/>
      <w:lvlJc w:val="left"/>
      <w:pPr>
        <w:tabs>
          <w:tab w:val="num" w:pos="360"/>
        </w:tabs>
        <w:ind w:left="360" w:firstLine="3240"/>
      </w:pPr>
      <w:rPr>
        <w:rFonts w:hint="default"/>
        <w:color w:val="000000"/>
        <w:position w:val="0"/>
        <w:sz w:val="20"/>
      </w:rPr>
    </w:lvl>
    <w:lvl w:ilvl="5">
      <w:start w:val="1"/>
      <w:numFmt w:val="lowerRoman"/>
      <w:lvlText w:val="%6."/>
      <w:lvlJc w:val="left"/>
      <w:pPr>
        <w:tabs>
          <w:tab w:val="num" w:pos="370"/>
        </w:tabs>
        <w:ind w:left="370" w:firstLine="3950"/>
      </w:pPr>
      <w:rPr>
        <w:rFonts w:hint="default"/>
        <w:color w:val="000000"/>
        <w:position w:val="0"/>
        <w:sz w:val="20"/>
      </w:rPr>
    </w:lvl>
    <w:lvl w:ilvl="6">
      <w:start w:val="1"/>
      <w:numFmt w:val="decimal"/>
      <w:isLgl/>
      <w:lvlText w:val="%7."/>
      <w:lvlJc w:val="left"/>
      <w:pPr>
        <w:tabs>
          <w:tab w:val="num" w:pos="360"/>
        </w:tabs>
        <w:ind w:left="360" w:firstLine="4680"/>
      </w:pPr>
      <w:rPr>
        <w:rFonts w:hint="default"/>
        <w:color w:val="000000"/>
        <w:position w:val="0"/>
        <w:sz w:val="20"/>
      </w:rPr>
    </w:lvl>
    <w:lvl w:ilvl="7">
      <w:start w:val="1"/>
      <w:numFmt w:val="lowerLetter"/>
      <w:lvlText w:val="%8."/>
      <w:lvlJc w:val="left"/>
      <w:pPr>
        <w:tabs>
          <w:tab w:val="num" w:pos="360"/>
        </w:tabs>
        <w:ind w:left="360" w:firstLine="5400"/>
      </w:pPr>
      <w:rPr>
        <w:rFonts w:hint="default"/>
        <w:color w:val="000000"/>
        <w:position w:val="0"/>
        <w:sz w:val="20"/>
      </w:rPr>
    </w:lvl>
    <w:lvl w:ilvl="8">
      <w:start w:val="1"/>
      <w:numFmt w:val="lowerRoman"/>
      <w:lvlText w:val="%9."/>
      <w:lvlJc w:val="left"/>
      <w:pPr>
        <w:tabs>
          <w:tab w:val="num" w:pos="370"/>
        </w:tabs>
        <w:ind w:left="370" w:firstLine="6110"/>
      </w:pPr>
      <w:rPr>
        <w:rFonts w:hint="default"/>
        <w:color w:val="000000"/>
        <w:position w:val="0"/>
        <w:sz w:val="20"/>
      </w:rPr>
    </w:lvl>
  </w:abstractNum>
  <w:abstractNum w:abstractNumId="1">
    <w:nsid w:val="20405CFE"/>
    <w:multiLevelType w:val="hybridMultilevel"/>
    <w:tmpl w:val="F73204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517FA"/>
    <w:rsid w:val="00057BC8"/>
    <w:rsid w:val="00122F49"/>
    <w:rsid w:val="00123DB6"/>
    <w:rsid w:val="00132485"/>
    <w:rsid w:val="00143A80"/>
    <w:rsid w:val="00190983"/>
    <w:rsid w:val="001A376C"/>
    <w:rsid w:val="001B1DB9"/>
    <w:rsid w:val="001B26BC"/>
    <w:rsid w:val="001B6BC4"/>
    <w:rsid w:val="001D1790"/>
    <w:rsid w:val="00211428"/>
    <w:rsid w:val="00214681"/>
    <w:rsid w:val="00225512"/>
    <w:rsid w:val="0023647D"/>
    <w:rsid w:val="00240F90"/>
    <w:rsid w:val="002704A2"/>
    <w:rsid w:val="002775EA"/>
    <w:rsid w:val="002D7E46"/>
    <w:rsid w:val="002E7290"/>
    <w:rsid w:val="003403A4"/>
    <w:rsid w:val="0035192B"/>
    <w:rsid w:val="00365D7C"/>
    <w:rsid w:val="00372279"/>
    <w:rsid w:val="003965B5"/>
    <w:rsid w:val="003A7530"/>
    <w:rsid w:val="003D33F0"/>
    <w:rsid w:val="003E159E"/>
    <w:rsid w:val="00452906"/>
    <w:rsid w:val="00482F8F"/>
    <w:rsid w:val="004A33BF"/>
    <w:rsid w:val="004C07FB"/>
    <w:rsid w:val="004C21C5"/>
    <w:rsid w:val="004D49EF"/>
    <w:rsid w:val="004E0907"/>
    <w:rsid w:val="004E246C"/>
    <w:rsid w:val="004F335F"/>
    <w:rsid w:val="004F3452"/>
    <w:rsid w:val="00503D5B"/>
    <w:rsid w:val="00532814"/>
    <w:rsid w:val="005358A5"/>
    <w:rsid w:val="00543A8D"/>
    <w:rsid w:val="005634A7"/>
    <w:rsid w:val="00564670"/>
    <w:rsid w:val="0057516B"/>
    <w:rsid w:val="00594EDF"/>
    <w:rsid w:val="005F5675"/>
    <w:rsid w:val="00606623"/>
    <w:rsid w:val="006207C6"/>
    <w:rsid w:val="006262C0"/>
    <w:rsid w:val="00637822"/>
    <w:rsid w:val="00665AD4"/>
    <w:rsid w:val="0067785C"/>
    <w:rsid w:val="0068180D"/>
    <w:rsid w:val="006820CC"/>
    <w:rsid w:val="00686231"/>
    <w:rsid w:val="006F540A"/>
    <w:rsid w:val="006F6897"/>
    <w:rsid w:val="00726034"/>
    <w:rsid w:val="00727033"/>
    <w:rsid w:val="00731917"/>
    <w:rsid w:val="00742331"/>
    <w:rsid w:val="00753893"/>
    <w:rsid w:val="00754C0C"/>
    <w:rsid w:val="007819A0"/>
    <w:rsid w:val="007C59B5"/>
    <w:rsid w:val="007F2DF7"/>
    <w:rsid w:val="007F6973"/>
    <w:rsid w:val="008217A1"/>
    <w:rsid w:val="008525D6"/>
    <w:rsid w:val="008556FD"/>
    <w:rsid w:val="00865CD9"/>
    <w:rsid w:val="008730CE"/>
    <w:rsid w:val="008952D3"/>
    <w:rsid w:val="00897C77"/>
    <w:rsid w:val="008B0867"/>
    <w:rsid w:val="008B6B72"/>
    <w:rsid w:val="008E009D"/>
    <w:rsid w:val="00936894"/>
    <w:rsid w:val="009524C0"/>
    <w:rsid w:val="009649B8"/>
    <w:rsid w:val="00975430"/>
    <w:rsid w:val="009A37BF"/>
    <w:rsid w:val="009A5EC0"/>
    <w:rsid w:val="009D6EC2"/>
    <w:rsid w:val="00A369FE"/>
    <w:rsid w:val="00A50E9C"/>
    <w:rsid w:val="00A51F32"/>
    <w:rsid w:val="00A62C92"/>
    <w:rsid w:val="00AC2998"/>
    <w:rsid w:val="00AC673D"/>
    <w:rsid w:val="00AD59F5"/>
    <w:rsid w:val="00B50021"/>
    <w:rsid w:val="00B52667"/>
    <w:rsid w:val="00B77568"/>
    <w:rsid w:val="00BC7CD6"/>
    <w:rsid w:val="00BD6380"/>
    <w:rsid w:val="00BE0656"/>
    <w:rsid w:val="00BE1615"/>
    <w:rsid w:val="00BE279B"/>
    <w:rsid w:val="00C0058D"/>
    <w:rsid w:val="00C165CC"/>
    <w:rsid w:val="00C26C22"/>
    <w:rsid w:val="00C30066"/>
    <w:rsid w:val="00C337B7"/>
    <w:rsid w:val="00C404DB"/>
    <w:rsid w:val="00CA4426"/>
    <w:rsid w:val="00CB7F3F"/>
    <w:rsid w:val="00CC2D97"/>
    <w:rsid w:val="00CD0E6F"/>
    <w:rsid w:val="00CD2F94"/>
    <w:rsid w:val="00D308F1"/>
    <w:rsid w:val="00D329F3"/>
    <w:rsid w:val="00D94BC1"/>
    <w:rsid w:val="00DA1552"/>
    <w:rsid w:val="00DD664B"/>
    <w:rsid w:val="00DE1550"/>
    <w:rsid w:val="00DE3F8A"/>
    <w:rsid w:val="00DE7F6A"/>
    <w:rsid w:val="00E0504D"/>
    <w:rsid w:val="00E122EC"/>
    <w:rsid w:val="00E230A9"/>
    <w:rsid w:val="00E23495"/>
    <w:rsid w:val="00E30770"/>
    <w:rsid w:val="00E33385"/>
    <w:rsid w:val="00E3624F"/>
    <w:rsid w:val="00E509BE"/>
    <w:rsid w:val="00E54309"/>
    <w:rsid w:val="00E77D97"/>
    <w:rsid w:val="00E87DFF"/>
    <w:rsid w:val="00EA0027"/>
    <w:rsid w:val="00EA448A"/>
    <w:rsid w:val="00F0544F"/>
    <w:rsid w:val="00F15093"/>
    <w:rsid w:val="00F74A8F"/>
    <w:rsid w:val="00F83BA2"/>
    <w:rsid w:val="00F90BBF"/>
    <w:rsid w:val="00F90CD3"/>
    <w:rsid w:val="00FC78B0"/>
    <w:rsid w:val="00FF7A16"/>
    <w:rsid w:val="00FF7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D2F75403-C130-41B8-AC42-9AC9E51D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paragraph" w:styleId="BodyText3">
    <w:name w:val="Body Text 3"/>
    <w:basedOn w:val="Normal"/>
    <w:link w:val="BodyText3Char"/>
    <w:rsid w:val="00665AD4"/>
    <w:pPr>
      <w:spacing w:after="120"/>
    </w:pPr>
    <w:rPr>
      <w:sz w:val="16"/>
      <w:szCs w:val="16"/>
    </w:rPr>
  </w:style>
  <w:style w:type="character" w:customStyle="1" w:styleId="BodyText3Char">
    <w:name w:val="Body Text 3 Char"/>
    <w:basedOn w:val="DefaultParagraphFont"/>
    <w:link w:val="BodyText3"/>
    <w:rsid w:val="00665AD4"/>
    <w:rPr>
      <w:sz w:val="16"/>
      <w:szCs w:val="16"/>
    </w:rPr>
  </w:style>
  <w:style w:type="paragraph" w:styleId="BalloonText">
    <w:name w:val="Balloon Text"/>
    <w:basedOn w:val="Normal"/>
    <w:link w:val="BalloonTextChar"/>
    <w:rsid w:val="008525D6"/>
    <w:rPr>
      <w:rFonts w:ascii="Tahoma" w:hAnsi="Tahoma" w:cs="Tahoma"/>
      <w:sz w:val="16"/>
      <w:szCs w:val="16"/>
    </w:rPr>
  </w:style>
  <w:style w:type="character" w:customStyle="1" w:styleId="BalloonTextChar">
    <w:name w:val="Balloon Text Char"/>
    <w:basedOn w:val="DefaultParagraphFont"/>
    <w:link w:val="BalloonText"/>
    <w:rsid w:val="008525D6"/>
    <w:rPr>
      <w:rFonts w:ascii="Tahoma" w:hAnsi="Tahoma" w:cs="Tahoma"/>
      <w:sz w:val="16"/>
      <w:szCs w:val="16"/>
    </w:rPr>
  </w:style>
  <w:style w:type="character" w:styleId="CommentReference">
    <w:name w:val="annotation reference"/>
    <w:basedOn w:val="DefaultParagraphFont"/>
    <w:rsid w:val="008525D6"/>
    <w:rPr>
      <w:sz w:val="16"/>
      <w:szCs w:val="16"/>
    </w:rPr>
  </w:style>
  <w:style w:type="paragraph" w:styleId="CommentText">
    <w:name w:val="annotation text"/>
    <w:basedOn w:val="Normal"/>
    <w:link w:val="CommentTextChar"/>
    <w:rsid w:val="008525D6"/>
  </w:style>
  <w:style w:type="character" w:customStyle="1" w:styleId="CommentTextChar">
    <w:name w:val="Comment Text Char"/>
    <w:basedOn w:val="DefaultParagraphFont"/>
    <w:link w:val="CommentText"/>
    <w:rsid w:val="008525D6"/>
  </w:style>
  <w:style w:type="paragraph" w:styleId="CommentSubject">
    <w:name w:val="annotation subject"/>
    <w:basedOn w:val="CommentText"/>
    <w:next w:val="CommentText"/>
    <w:link w:val="CommentSubjectChar"/>
    <w:rsid w:val="008525D6"/>
    <w:rPr>
      <w:b/>
      <w:bCs/>
    </w:rPr>
  </w:style>
  <w:style w:type="character" w:customStyle="1" w:styleId="CommentSubjectChar">
    <w:name w:val="Comment Subject Char"/>
    <w:basedOn w:val="CommentTextChar"/>
    <w:link w:val="CommentSubject"/>
    <w:rsid w:val="008525D6"/>
    <w:rPr>
      <w:b/>
      <w:bCs/>
    </w:rPr>
  </w:style>
  <w:style w:type="table" w:styleId="PlainTable3">
    <w:name w:val="Plain Table 3"/>
    <w:basedOn w:val="TableNormal"/>
    <w:uiPriority w:val="43"/>
    <w:rsid w:val="008B6B7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3</Pages>
  <Words>2015</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Company/>
  <LinksUpToDate>false</LinksUpToDate>
  <CharactersWithSpaces>13100</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dc:creator>Read, David</dc:creator>
  <cp:lastModifiedBy>Read, David</cp:lastModifiedBy>
  <cp:revision>11</cp:revision>
  <cp:lastPrinted>2013-06-24T17:27:00Z</cp:lastPrinted>
  <dcterms:created xsi:type="dcterms:W3CDTF">2014-03-06T14:52:00Z</dcterms:created>
  <dcterms:modified xsi:type="dcterms:W3CDTF">2015-02-26T15:18:00Z</dcterms:modified>
</cp:coreProperties>
</file>